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FA0C" w14:textId="32CA870D" w:rsidR="00956916" w:rsidRPr="00B14634" w:rsidRDefault="00956916">
      <w:pPr>
        <w:jc w:val="center"/>
        <w:rPr>
          <w:rFonts w:ascii="Bookman Old Style" w:hAnsi="Bookman Old Style"/>
          <w:b/>
          <w:sz w:val="21"/>
          <w:szCs w:val="21"/>
        </w:rPr>
      </w:pPr>
      <w:r w:rsidRPr="00B14634">
        <w:rPr>
          <w:rFonts w:ascii="Bookman Old Style" w:hAnsi="Bookman Old Style"/>
          <w:b/>
          <w:sz w:val="21"/>
          <w:szCs w:val="21"/>
        </w:rPr>
        <w:t xml:space="preserve">RESOLUTION NO </w:t>
      </w:r>
      <w:r w:rsidR="00DC5EDF">
        <w:rPr>
          <w:rFonts w:ascii="Bookman Old Style" w:hAnsi="Bookman Old Style"/>
          <w:b/>
          <w:sz w:val="21"/>
          <w:szCs w:val="21"/>
        </w:rPr>
        <w:t>20</w:t>
      </w:r>
      <w:r w:rsidR="00140D36">
        <w:rPr>
          <w:rFonts w:ascii="Bookman Old Style" w:hAnsi="Bookman Old Style"/>
          <w:b/>
          <w:sz w:val="21"/>
          <w:szCs w:val="21"/>
        </w:rPr>
        <w:t>2</w:t>
      </w:r>
      <w:r w:rsidR="008241E7">
        <w:rPr>
          <w:rFonts w:ascii="Bookman Old Style" w:hAnsi="Bookman Old Style"/>
          <w:b/>
          <w:sz w:val="21"/>
          <w:szCs w:val="21"/>
        </w:rPr>
        <w:t>2</w:t>
      </w:r>
      <w:r w:rsidR="00DC5EDF">
        <w:rPr>
          <w:rFonts w:ascii="Bookman Old Style" w:hAnsi="Bookman Old Style"/>
          <w:b/>
          <w:sz w:val="21"/>
          <w:szCs w:val="21"/>
        </w:rPr>
        <w:t>-01</w:t>
      </w:r>
      <w:r w:rsidRPr="00B14634">
        <w:rPr>
          <w:rFonts w:ascii="Bookman Old Style" w:hAnsi="Bookman Old Style"/>
          <w:b/>
          <w:sz w:val="21"/>
          <w:szCs w:val="21"/>
        </w:rPr>
        <w:t xml:space="preserve"> OF</w:t>
      </w:r>
    </w:p>
    <w:p w14:paraId="52F661CB" w14:textId="3D42A20E" w:rsidR="00956916" w:rsidRPr="00B14634" w:rsidRDefault="00956916">
      <w:pPr>
        <w:jc w:val="center"/>
        <w:rPr>
          <w:rFonts w:ascii="Bookman Old Style" w:hAnsi="Bookman Old Style"/>
          <w:b/>
          <w:sz w:val="21"/>
          <w:szCs w:val="21"/>
        </w:rPr>
      </w:pPr>
      <w:r w:rsidRPr="00B14634">
        <w:rPr>
          <w:rFonts w:ascii="Bookman Old Style" w:hAnsi="Bookman Old Style"/>
          <w:b/>
          <w:sz w:val="21"/>
          <w:szCs w:val="21"/>
        </w:rPr>
        <w:t>20</w:t>
      </w:r>
      <w:r w:rsidR="00140D36">
        <w:rPr>
          <w:rFonts w:ascii="Bookman Old Style" w:hAnsi="Bookman Old Style"/>
          <w:b/>
          <w:sz w:val="21"/>
          <w:szCs w:val="21"/>
        </w:rPr>
        <w:t>2</w:t>
      </w:r>
      <w:r w:rsidR="001F0157">
        <w:rPr>
          <w:rFonts w:ascii="Bookman Old Style" w:hAnsi="Bookman Old Style"/>
          <w:b/>
          <w:sz w:val="21"/>
          <w:szCs w:val="21"/>
        </w:rPr>
        <w:t>2</w:t>
      </w:r>
      <w:r w:rsidRPr="00B14634">
        <w:rPr>
          <w:rFonts w:ascii="Bookman Old Style" w:hAnsi="Bookman Old Style"/>
          <w:b/>
          <w:sz w:val="21"/>
          <w:szCs w:val="21"/>
        </w:rPr>
        <w:t xml:space="preserve"> </w:t>
      </w:r>
      <w:r w:rsidR="009C2854">
        <w:rPr>
          <w:rFonts w:ascii="Bookman Old Style" w:hAnsi="Bookman Old Style"/>
          <w:b/>
          <w:sz w:val="21"/>
          <w:szCs w:val="21"/>
        </w:rPr>
        <w:t>LIBERTY</w:t>
      </w:r>
      <w:r w:rsidRPr="00B14634">
        <w:rPr>
          <w:rFonts w:ascii="Bookman Old Style" w:hAnsi="Bookman Old Style"/>
          <w:b/>
          <w:sz w:val="21"/>
          <w:szCs w:val="21"/>
        </w:rPr>
        <w:t xml:space="preserve"> COUNTY VALUE ADJUSTMENT BOARD</w:t>
      </w:r>
    </w:p>
    <w:p w14:paraId="511294DE" w14:textId="77777777" w:rsidR="00956916" w:rsidRPr="00863F22" w:rsidRDefault="00956916">
      <w:pPr>
        <w:rPr>
          <w:rFonts w:ascii="Bookman Old Style" w:hAnsi="Bookman Old Style"/>
          <w:sz w:val="20"/>
          <w:szCs w:val="20"/>
        </w:rPr>
      </w:pPr>
    </w:p>
    <w:p w14:paraId="50E5E69C" w14:textId="77777777" w:rsidR="00956916" w:rsidRPr="00863F22" w:rsidRDefault="00956916">
      <w:pPr>
        <w:rPr>
          <w:rFonts w:ascii="Bookman Old Style" w:hAnsi="Bookman Old Style"/>
          <w:sz w:val="20"/>
          <w:szCs w:val="20"/>
        </w:rPr>
      </w:pPr>
      <w:r w:rsidRPr="00863F22">
        <w:rPr>
          <w:rFonts w:ascii="Bookman Old Style" w:hAnsi="Bookman Old Style"/>
          <w:sz w:val="20"/>
          <w:szCs w:val="20"/>
        </w:rPr>
        <w:t xml:space="preserve">WHEREAS, </w:t>
      </w:r>
      <w:hyperlink r:id="rId9" w:history="1">
        <w:r w:rsidR="003F3AE6" w:rsidRPr="00863F22">
          <w:rPr>
            <w:rStyle w:val="Hyperlink"/>
            <w:rFonts w:ascii="Bookman Old Style" w:hAnsi="Bookman Old Style"/>
            <w:sz w:val="20"/>
            <w:szCs w:val="20"/>
          </w:rPr>
          <w:t>Fla. Stat. §</w:t>
        </w:r>
        <w:r w:rsidR="003F3AE6" w:rsidRPr="00863F22">
          <w:rPr>
            <w:rStyle w:val="Hyperlink"/>
            <w:sz w:val="20"/>
            <w:szCs w:val="20"/>
          </w:rPr>
          <w:t xml:space="preserve"> </w:t>
        </w:r>
        <w:r w:rsidRPr="00863F22">
          <w:rPr>
            <w:rStyle w:val="Hyperlink"/>
            <w:rFonts w:ascii="Bookman Old Style" w:hAnsi="Bookman Old Style"/>
            <w:sz w:val="20"/>
            <w:szCs w:val="20"/>
          </w:rPr>
          <w:t>194.013</w:t>
        </w:r>
      </w:hyperlink>
      <w:r w:rsidRPr="00863F22">
        <w:rPr>
          <w:rFonts w:ascii="Bookman Old Style" w:hAnsi="Bookman Old Style"/>
          <w:sz w:val="20"/>
          <w:szCs w:val="20"/>
        </w:rPr>
        <w:t xml:space="preserve"> allows the Value Adjustment Board, hereinafter "VAB", to adopt a Resolution imposing a filing fee on each separate parcel of property covered by a VAB Petition; and,</w:t>
      </w:r>
    </w:p>
    <w:p w14:paraId="1ECCBFF9" w14:textId="77777777" w:rsidR="00956916" w:rsidRPr="00863F22" w:rsidRDefault="00956916">
      <w:pPr>
        <w:rPr>
          <w:rFonts w:ascii="Bookman Old Style" w:hAnsi="Bookman Old Style"/>
          <w:sz w:val="20"/>
          <w:szCs w:val="20"/>
        </w:rPr>
      </w:pPr>
    </w:p>
    <w:p w14:paraId="2FED6A02" w14:textId="77777777" w:rsidR="00956916" w:rsidRPr="00863F22" w:rsidRDefault="00956916">
      <w:pPr>
        <w:rPr>
          <w:rFonts w:ascii="Bookman Old Style" w:hAnsi="Bookman Old Style"/>
          <w:sz w:val="20"/>
          <w:szCs w:val="20"/>
        </w:rPr>
      </w:pPr>
      <w:r w:rsidRPr="00863F22">
        <w:rPr>
          <w:rFonts w:ascii="Bookman Old Style" w:hAnsi="Bookman Old Style"/>
          <w:sz w:val="20"/>
          <w:szCs w:val="20"/>
        </w:rPr>
        <w:t>WHEREAS, previous Value Adjustment Boards have determined it is in the public's best interest and welfare to impose a filing fee in order to defray the costs of administration and operation of the Value Adjustment process and that said fees continue in effect until repealed; and,</w:t>
      </w:r>
    </w:p>
    <w:p w14:paraId="42088B32" w14:textId="77777777" w:rsidR="00956916" w:rsidRPr="00863F22" w:rsidRDefault="00956916">
      <w:pPr>
        <w:rPr>
          <w:rFonts w:ascii="Bookman Old Style" w:hAnsi="Bookman Old Style"/>
          <w:sz w:val="20"/>
          <w:szCs w:val="20"/>
        </w:rPr>
      </w:pPr>
    </w:p>
    <w:p w14:paraId="5CD0C70B" w14:textId="77777777" w:rsidR="00B25072" w:rsidRPr="00863F22" w:rsidRDefault="00B25072">
      <w:pPr>
        <w:rPr>
          <w:rFonts w:ascii="Bookman Old Style" w:hAnsi="Bookman Old Style"/>
          <w:sz w:val="20"/>
          <w:szCs w:val="20"/>
        </w:rPr>
      </w:pPr>
      <w:r w:rsidRPr="00863F22">
        <w:rPr>
          <w:rFonts w:ascii="Bookman Old Style" w:hAnsi="Bookman Old Style"/>
          <w:sz w:val="20"/>
          <w:szCs w:val="20"/>
        </w:rPr>
        <w:t xml:space="preserve">WHEREAS, </w:t>
      </w:r>
      <w:hyperlink r:id="rId10" w:history="1">
        <w:r w:rsidR="0053745A" w:rsidRPr="00863F22">
          <w:rPr>
            <w:rStyle w:val="Hyperlink"/>
            <w:rFonts w:ascii="Bookman Old Style" w:hAnsi="Bookman Old Style"/>
            <w:sz w:val="20"/>
            <w:szCs w:val="20"/>
          </w:rPr>
          <w:t xml:space="preserve">Rule </w:t>
        </w:r>
        <w:r w:rsidRPr="00863F22">
          <w:rPr>
            <w:rStyle w:val="Hyperlink"/>
            <w:rFonts w:ascii="Bookman Old Style" w:hAnsi="Bookman Old Style"/>
            <w:sz w:val="20"/>
            <w:szCs w:val="20"/>
          </w:rPr>
          <w:t>Chapter 12D-9.005</w:t>
        </w:r>
        <w:r w:rsidR="0053745A" w:rsidRPr="00863F22">
          <w:rPr>
            <w:rStyle w:val="Hyperlink"/>
            <w:rFonts w:ascii="Bookman Old Style" w:hAnsi="Bookman Old Style"/>
            <w:sz w:val="20"/>
            <w:szCs w:val="20"/>
          </w:rPr>
          <w:t>, F.A.C.</w:t>
        </w:r>
      </w:hyperlink>
      <w:r w:rsidR="0053745A" w:rsidRPr="00863F22">
        <w:rPr>
          <w:rFonts w:ascii="Bookman Old Style" w:hAnsi="Bookman Old Style"/>
          <w:sz w:val="20"/>
          <w:szCs w:val="20"/>
        </w:rPr>
        <w:t>,</w:t>
      </w:r>
      <w:r w:rsidRPr="00863F22">
        <w:rPr>
          <w:rFonts w:ascii="Bookman Old Style" w:hAnsi="Bookman Old Style"/>
          <w:sz w:val="20"/>
          <w:szCs w:val="20"/>
        </w:rPr>
        <w:t xml:space="preserve"> provides that the Board will schedule hearings</w:t>
      </w:r>
      <w:r w:rsidR="00FD6DD5" w:rsidRPr="00863F22">
        <w:rPr>
          <w:rFonts w:ascii="Bookman Old Style" w:hAnsi="Bookman Old Style"/>
          <w:sz w:val="20"/>
          <w:szCs w:val="20"/>
        </w:rPr>
        <w:t xml:space="preserve"> for petitions relating to assessments filed pursuant to </w:t>
      </w:r>
      <w:hyperlink r:id="rId11" w:history="1">
        <w:r w:rsidR="00FD6DD5" w:rsidRPr="00863F22">
          <w:rPr>
            <w:rStyle w:val="Hyperlink"/>
            <w:rFonts w:ascii="Bookman Old Style" w:hAnsi="Bookman Old Style"/>
            <w:sz w:val="20"/>
            <w:szCs w:val="20"/>
          </w:rPr>
          <w:t>Fla. Stat. §</w:t>
        </w:r>
        <w:r w:rsidR="00FD6DD5" w:rsidRPr="00863F22">
          <w:rPr>
            <w:rStyle w:val="Hyperlink"/>
            <w:sz w:val="20"/>
            <w:szCs w:val="20"/>
          </w:rPr>
          <w:t xml:space="preserve"> </w:t>
        </w:r>
        <w:r w:rsidR="004D0FFD" w:rsidRPr="00863F22">
          <w:rPr>
            <w:rStyle w:val="Hyperlink"/>
            <w:rFonts w:ascii="Bookman Old Style" w:hAnsi="Bookman Old Style"/>
            <w:sz w:val="20"/>
            <w:szCs w:val="20"/>
          </w:rPr>
          <w:t>194.011(3)</w:t>
        </w:r>
      </w:hyperlink>
      <w:r w:rsidR="004D0FFD" w:rsidRPr="00863F22">
        <w:rPr>
          <w:rFonts w:ascii="Bookman Old Style" w:hAnsi="Bookman Old Style"/>
          <w:sz w:val="20"/>
          <w:szCs w:val="20"/>
        </w:rPr>
        <w:t xml:space="preserve">; </w:t>
      </w:r>
      <w:r w:rsidR="00FD6DD5" w:rsidRPr="00863F22">
        <w:rPr>
          <w:rFonts w:ascii="Bookman Old Style" w:hAnsi="Bookman Old Style"/>
          <w:sz w:val="20"/>
          <w:szCs w:val="20"/>
        </w:rPr>
        <w:t xml:space="preserve">complaints relating to homestead exemptions as provided for under </w:t>
      </w:r>
      <w:hyperlink r:id="rId12" w:history="1">
        <w:r w:rsidR="00FD6DD5" w:rsidRPr="00863F22">
          <w:rPr>
            <w:rStyle w:val="Hyperlink"/>
            <w:rFonts w:ascii="Bookman Old Style" w:hAnsi="Bookman Old Style"/>
            <w:sz w:val="20"/>
            <w:szCs w:val="20"/>
          </w:rPr>
          <w:t>Fla. Stat. §</w:t>
        </w:r>
        <w:r w:rsidR="00FD6DD5" w:rsidRPr="00863F22">
          <w:rPr>
            <w:rStyle w:val="Hyperlink"/>
            <w:sz w:val="20"/>
            <w:szCs w:val="20"/>
          </w:rPr>
          <w:t xml:space="preserve"> </w:t>
        </w:r>
        <w:r w:rsidR="00FD6DD5" w:rsidRPr="00863F22">
          <w:rPr>
            <w:rStyle w:val="Hyperlink"/>
            <w:rFonts w:ascii="Bookman Old Style" w:hAnsi="Bookman Old Style"/>
            <w:sz w:val="20"/>
            <w:szCs w:val="20"/>
          </w:rPr>
          <w:t>196.151</w:t>
        </w:r>
      </w:hyperlink>
      <w:r w:rsidR="00FD6DD5" w:rsidRPr="00863F22">
        <w:rPr>
          <w:rFonts w:ascii="Bookman Old Style" w:hAnsi="Bookman Old Style"/>
          <w:sz w:val="20"/>
          <w:szCs w:val="20"/>
        </w:rPr>
        <w:t xml:space="preserve">; appeals from exemptions denied, or disputes arising from exemptions granted, upon the filing of exemption applications under </w:t>
      </w:r>
      <w:hyperlink r:id="rId13" w:history="1">
        <w:r w:rsidR="00FD6DD5" w:rsidRPr="00863F22">
          <w:rPr>
            <w:rStyle w:val="Hyperlink"/>
            <w:rFonts w:ascii="Bookman Old Style" w:hAnsi="Bookman Old Style"/>
            <w:sz w:val="20"/>
            <w:szCs w:val="20"/>
          </w:rPr>
          <w:t>Fla. Stat. §</w:t>
        </w:r>
        <w:r w:rsidR="00FD6DD5" w:rsidRPr="00863F22">
          <w:rPr>
            <w:rStyle w:val="Hyperlink"/>
            <w:sz w:val="20"/>
            <w:szCs w:val="20"/>
          </w:rPr>
          <w:t xml:space="preserve"> </w:t>
        </w:r>
        <w:r w:rsidR="00FD6DD5" w:rsidRPr="00863F22">
          <w:rPr>
            <w:rStyle w:val="Hyperlink"/>
            <w:rFonts w:ascii="Bookman Old Style" w:hAnsi="Bookman Old Style"/>
            <w:sz w:val="20"/>
            <w:szCs w:val="20"/>
          </w:rPr>
          <w:t>196.011</w:t>
        </w:r>
      </w:hyperlink>
      <w:r w:rsidR="00FD6DD5" w:rsidRPr="00863F22">
        <w:rPr>
          <w:rFonts w:ascii="Bookman Old Style" w:hAnsi="Bookman Old Style"/>
          <w:sz w:val="20"/>
          <w:szCs w:val="20"/>
        </w:rPr>
        <w:t>; or appeals concerning ad valorem tax deferrals and classifications.</w:t>
      </w:r>
    </w:p>
    <w:p w14:paraId="5070CE95" w14:textId="77777777" w:rsidR="00B25072" w:rsidRPr="00863F22" w:rsidRDefault="00B25072">
      <w:pPr>
        <w:rPr>
          <w:rFonts w:ascii="Bookman Old Style" w:hAnsi="Bookman Old Style"/>
          <w:sz w:val="20"/>
          <w:szCs w:val="20"/>
        </w:rPr>
      </w:pPr>
    </w:p>
    <w:p w14:paraId="12B1FEF3" w14:textId="77777777" w:rsidR="00956916" w:rsidRPr="00863F22" w:rsidRDefault="00956916">
      <w:pPr>
        <w:rPr>
          <w:rFonts w:ascii="Bookman Old Style" w:hAnsi="Bookman Old Style"/>
          <w:sz w:val="20"/>
          <w:szCs w:val="20"/>
        </w:rPr>
      </w:pPr>
      <w:r w:rsidRPr="00863F22">
        <w:rPr>
          <w:rFonts w:ascii="Bookman Old Style" w:hAnsi="Bookman Old Style"/>
          <w:sz w:val="20"/>
          <w:szCs w:val="20"/>
        </w:rPr>
        <w:t xml:space="preserve">WHEREAS, </w:t>
      </w:r>
      <w:hyperlink r:id="rId14" w:history="1">
        <w:r w:rsidR="0053745A" w:rsidRPr="00863F22">
          <w:rPr>
            <w:rStyle w:val="Hyperlink"/>
            <w:rFonts w:ascii="Bookman Old Style" w:hAnsi="Bookman Old Style"/>
            <w:sz w:val="20"/>
            <w:szCs w:val="20"/>
          </w:rPr>
          <w:t xml:space="preserve">Rule </w:t>
        </w:r>
        <w:r w:rsidR="003F3AE6" w:rsidRPr="00863F22">
          <w:rPr>
            <w:rStyle w:val="Hyperlink"/>
            <w:rFonts w:ascii="Bookman Old Style" w:hAnsi="Bookman Old Style"/>
            <w:sz w:val="20"/>
            <w:szCs w:val="20"/>
          </w:rPr>
          <w:t xml:space="preserve">Chapter </w:t>
        </w:r>
        <w:r w:rsidRPr="00863F22">
          <w:rPr>
            <w:rStyle w:val="Hyperlink"/>
            <w:rFonts w:ascii="Bookman Old Style" w:hAnsi="Bookman Old Style"/>
            <w:sz w:val="20"/>
            <w:szCs w:val="20"/>
          </w:rPr>
          <w:t>12D-9.015</w:t>
        </w:r>
        <w:r w:rsidR="0053745A" w:rsidRPr="00863F22">
          <w:rPr>
            <w:rStyle w:val="Hyperlink"/>
            <w:rFonts w:ascii="Bookman Old Style" w:hAnsi="Bookman Old Style"/>
            <w:sz w:val="20"/>
            <w:szCs w:val="20"/>
          </w:rPr>
          <w:t>, F.A.C.</w:t>
        </w:r>
      </w:hyperlink>
      <w:r w:rsidR="0053745A" w:rsidRPr="00863F22">
        <w:rPr>
          <w:rFonts w:ascii="Bookman Old Style" w:hAnsi="Bookman Old Style"/>
          <w:sz w:val="20"/>
          <w:szCs w:val="20"/>
        </w:rPr>
        <w:t>,</w:t>
      </w:r>
      <w:r w:rsidRPr="00863F22">
        <w:rPr>
          <w:rFonts w:ascii="Bookman Old Style" w:hAnsi="Bookman Old Style"/>
          <w:sz w:val="20"/>
          <w:szCs w:val="20"/>
        </w:rPr>
        <w:t xml:space="preserve"> provides that the Board cannot extend the time for petition filing but may consider late filed petitions only if good cause for late filing is established and the delay thereof will not be prejudicial to the VAB function in the taxing process; and,</w:t>
      </w:r>
    </w:p>
    <w:p w14:paraId="518E7B6E" w14:textId="77777777" w:rsidR="00956916" w:rsidRPr="00863F22" w:rsidRDefault="00956916">
      <w:pPr>
        <w:rPr>
          <w:rFonts w:ascii="Bookman Old Style" w:hAnsi="Bookman Old Style"/>
          <w:sz w:val="20"/>
          <w:szCs w:val="20"/>
        </w:rPr>
      </w:pPr>
    </w:p>
    <w:p w14:paraId="62220BEB" w14:textId="77777777" w:rsidR="00956916" w:rsidRPr="00863F22" w:rsidRDefault="00956916">
      <w:pPr>
        <w:rPr>
          <w:rFonts w:ascii="Bookman Old Style" w:hAnsi="Bookman Old Style"/>
          <w:sz w:val="20"/>
          <w:szCs w:val="20"/>
        </w:rPr>
      </w:pPr>
      <w:r w:rsidRPr="00863F22">
        <w:rPr>
          <w:rFonts w:ascii="Bookman Old Style" w:hAnsi="Bookman Old Style"/>
          <w:sz w:val="20"/>
          <w:szCs w:val="20"/>
        </w:rPr>
        <w:t xml:space="preserve">WHEREAS, </w:t>
      </w:r>
      <w:hyperlink r:id="rId15" w:history="1">
        <w:r w:rsidR="0053745A" w:rsidRPr="00863F22">
          <w:rPr>
            <w:rStyle w:val="Hyperlink"/>
            <w:rFonts w:ascii="Bookman Old Style" w:hAnsi="Bookman Old Style"/>
            <w:sz w:val="20"/>
            <w:szCs w:val="20"/>
          </w:rPr>
          <w:t>Rule</w:t>
        </w:r>
        <w:r w:rsidRPr="00863F22">
          <w:rPr>
            <w:rStyle w:val="Hyperlink"/>
            <w:rFonts w:ascii="Bookman Old Style" w:hAnsi="Bookman Old Style"/>
            <w:sz w:val="20"/>
            <w:szCs w:val="20"/>
          </w:rPr>
          <w:t xml:space="preserve"> </w:t>
        </w:r>
        <w:r w:rsidR="003F3AE6" w:rsidRPr="00863F22">
          <w:rPr>
            <w:rStyle w:val="Hyperlink"/>
            <w:rFonts w:ascii="Bookman Old Style" w:hAnsi="Bookman Old Style"/>
            <w:sz w:val="20"/>
            <w:szCs w:val="20"/>
          </w:rPr>
          <w:t xml:space="preserve">Chapter </w:t>
        </w:r>
        <w:r w:rsidRPr="00863F22">
          <w:rPr>
            <w:rStyle w:val="Hyperlink"/>
            <w:rFonts w:ascii="Bookman Old Style" w:hAnsi="Bookman Old Style"/>
            <w:sz w:val="20"/>
            <w:szCs w:val="20"/>
          </w:rPr>
          <w:t>12D-9.013</w:t>
        </w:r>
        <w:r w:rsidR="0053745A" w:rsidRPr="00863F22">
          <w:rPr>
            <w:rStyle w:val="Hyperlink"/>
            <w:rFonts w:ascii="Bookman Old Style" w:hAnsi="Bookman Old Style"/>
            <w:sz w:val="20"/>
            <w:szCs w:val="20"/>
          </w:rPr>
          <w:t>, F.A.C.</w:t>
        </w:r>
      </w:hyperlink>
      <w:r w:rsidR="0053745A" w:rsidRPr="00863F22">
        <w:rPr>
          <w:rFonts w:ascii="Bookman Old Style" w:hAnsi="Bookman Old Style"/>
          <w:sz w:val="20"/>
          <w:szCs w:val="20"/>
        </w:rPr>
        <w:t>,</w:t>
      </w:r>
      <w:r w:rsidRPr="00863F22">
        <w:rPr>
          <w:rFonts w:ascii="Bookman Old Style" w:hAnsi="Bookman Old Style"/>
          <w:sz w:val="20"/>
          <w:szCs w:val="20"/>
        </w:rPr>
        <w:t xml:space="preserve"> provides that the VAB shall make available to the public Rule</w:t>
      </w:r>
      <w:r w:rsidR="0053745A" w:rsidRPr="00863F22">
        <w:rPr>
          <w:rFonts w:ascii="Bookman Old Style" w:hAnsi="Bookman Old Style"/>
          <w:sz w:val="20"/>
          <w:szCs w:val="20"/>
        </w:rPr>
        <w:t>s</w:t>
      </w:r>
      <w:r w:rsidRPr="00863F22">
        <w:rPr>
          <w:rFonts w:ascii="Bookman Old Style" w:hAnsi="Bookman Old Style"/>
          <w:sz w:val="20"/>
          <w:szCs w:val="20"/>
        </w:rPr>
        <w:t xml:space="preserve"> </w:t>
      </w:r>
      <w:r w:rsidR="0053745A" w:rsidRPr="00863F22">
        <w:rPr>
          <w:rFonts w:ascii="Bookman Old Style" w:hAnsi="Bookman Old Style"/>
          <w:sz w:val="20"/>
          <w:szCs w:val="20"/>
        </w:rPr>
        <w:t xml:space="preserve">Chapter </w:t>
      </w:r>
      <w:r w:rsidRPr="00863F22">
        <w:rPr>
          <w:rFonts w:ascii="Bookman Old Style" w:hAnsi="Bookman Old Style"/>
          <w:sz w:val="20"/>
          <w:szCs w:val="20"/>
        </w:rPr>
        <w:t xml:space="preserve">12D-9, 12D-10, 12D-51.001, 51.002, </w:t>
      </w:r>
      <w:r w:rsidR="0053745A" w:rsidRPr="00863F22">
        <w:rPr>
          <w:rFonts w:ascii="Bookman Old Style" w:hAnsi="Bookman Old Style"/>
          <w:sz w:val="20"/>
          <w:szCs w:val="20"/>
        </w:rPr>
        <w:t xml:space="preserve">and </w:t>
      </w:r>
      <w:r w:rsidRPr="00863F22">
        <w:rPr>
          <w:rFonts w:ascii="Bookman Old Style" w:hAnsi="Bookman Old Style"/>
          <w:sz w:val="20"/>
          <w:szCs w:val="20"/>
        </w:rPr>
        <w:t xml:space="preserve">51.003, </w:t>
      </w:r>
      <w:hyperlink r:id="rId16" w:history="1">
        <w:r w:rsidRPr="00863F22">
          <w:rPr>
            <w:rStyle w:val="Hyperlink"/>
            <w:rFonts w:ascii="Bookman Old Style" w:hAnsi="Bookman Old Style"/>
            <w:sz w:val="20"/>
            <w:szCs w:val="20"/>
          </w:rPr>
          <w:t>Chapters 192 through 195, F.S</w:t>
        </w:r>
      </w:hyperlink>
      <w:r w:rsidRPr="00863F22">
        <w:rPr>
          <w:rFonts w:ascii="Bookman Old Style" w:hAnsi="Bookman Old Style"/>
          <w:sz w:val="20"/>
          <w:szCs w:val="20"/>
        </w:rPr>
        <w:t xml:space="preserve">. and the requirements of </w:t>
      </w:r>
      <w:hyperlink r:id="rId17" w:history="1">
        <w:r w:rsidRPr="00863F22">
          <w:rPr>
            <w:rStyle w:val="Hyperlink"/>
            <w:rFonts w:ascii="Bookman Old Style" w:hAnsi="Bookman Old Style"/>
            <w:sz w:val="20"/>
            <w:szCs w:val="20"/>
          </w:rPr>
          <w:t>Florida's Government in the Sunshine / open government laws</w:t>
        </w:r>
      </w:hyperlink>
      <w:r w:rsidRPr="00863F22">
        <w:rPr>
          <w:rFonts w:ascii="Bookman Old Style" w:hAnsi="Bookman Old Style"/>
          <w:sz w:val="20"/>
          <w:szCs w:val="20"/>
        </w:rPr>
        <w:t>.</w:t>
      </w:r>
    </w:p>
    <w:p w14:paraId="4F3011DC" w14:textId="77777777" w:rsidR="00956916" w:rsidRPr="00863F22" w:rsidRDefault="00956916">
      <w:pPr>
        <w:rPr>
          <w:rFonts w:ascii="Bookman Old Style" w:hAnsi="Bookman Old Style"/>
          <w:sz w:val="20"/>
          <w:szCs w:val="20"/>
        </w:rPr>
      </w:pPr>
    </w:p>
    <w:p w14:paraId="0229F673" w14:textId="77777777" w:rsidR="00956916" w:rsidRPr="00863F22" w:rsidRDefault="00956916">
      <w:pPr>
        <w:rPr>
          <w:rFonts w:ascii="Bookman Old Style" w:hAnsi="Bookman Old Style"/>
          <w:sz w:val="20"/>
          <w:szCs w:val="20"/>
        </w:rPr>
      </w:pPr>
      <w:r w:rsidRPr="00863F22">
        <w:rPr>
          <w:rFonts w:ascii="Bookman Old Style" w:hAnsi="Bookman Old Style"/>
          <w:sz w:val="20"/>
          <w:szCs w:val="20"/>
        </w:rPr>
        <w:t>WHEREAS</w:t>
      </w:r>
      <w:r w:rsidR="003F3AE6" w:rsidRPr="00863F22">
        <w:rPr>
          <w:rFonts w:ascii="Bookman Old Style" w:hAnsi="Bookman Old Style"/>
          <w:sz w:val="20"/>
          <w:szCs w:val="20"/>
        </w:rPr>
        <w:t>,</w:t>
      </w:r>
      <w:r w:rsidRPr="00863F22">
        <w:rPr>
          <w:rFonts w:ascii="Bookman Old Style" w:hAnsi="Bookman Old Style"/>
          <w:sz w:val="20"/>
          <w:szCs w:val="20"/>
        </w:rPr>
        <w:t xml:space="preserve"> </w:t>
      </w:r>
      <w:hyperlink r:id="rId18" w:history="1">
        <w:r w:rsidR="0053745A" w:rsidRPr="00863F22">
          <w:rPr>
            <w:rStyle w:val="Hyperlink"/>
            <w:rFonts w:ascii="Bookman Old Style" w:hAnsi="Bookman Old Style"/>
            <w:sz w:val="20"/>
            <w:szCs w:val="20"/>
          </w:rPr>
          <w:t xml:space="preserve">Rule </w:t>
        </w:r>
        <w:r w:rsidR="003F3AE6" w:rsidRPr="00863F22">
          <w:rPr>
            <w:rStyle w:val="Hyperlink"/>
            <w:rFonts w:ascii="Bookman Old Style" w:hAnsi="Bookman Old Style"/>
            <w:sz w:val="20"/>
            <w:szCs w:val="20"/>
          </w:rPr>
          <w:t xml:space="preserve">Chapter </w:t>
        </w:r>
        <w:r w:rsidRPr="00863F22">
          <w:rPr>
            <w:rStyle w:val="Hyperlink"/>
            <w:rFonts w:ascii="Bookman Old Style" w:hAnsi="Bookman Old Style"/>
            <w:sz w:val="20"/>
            <w:szCs w:val="20"/>
          </w:rPr>
          <w:t>12D-9.021(6)</w:t>
        </w:r>
        <w:r w:rsidR="0053745A" w:rsidRPr="00863F22">
          <w:rPr>
            <w:rStyle w:val="Hyperlink"/>
            <w:rFonts w:ascii="Bookman Old Style" w:hAnsi="Bookman Old Style"/>
            <w:sz w:val="20"/>
            <w:szCs w:val="20"/>
          </w:rPr>
          <w:t>, F.A.C.</w:t>
        </w:r>
      </w:hyperlink>
      <w:r w:rsidR="0053745A" w:rsidRPr="00863F22">
        <w:rPr>
          <w:rFonts w:ascii="Bookman Old Style" w:hAnsi="Bookman Old Style"/>
          <w:sz w:val="20"/>
          <w:szCs w:val="20"/>
        </w:rPr>
        <w:t>,</w:t>
      </w:r>
      <w:r w:rsidRPr="00863F22">
        <w:rPr>
          <w:rFonts w:ascii="Bookman Old Style" w:hAnsi="Bookman Old Style"/>
          <w:sz w:val="20"/>
          <w:szCs w:val="20"/>
        </w:rPr>
        <w:t xml:space="preserve"> provides that when a petitioner does not appear by the commencement of a scheduled hearing and the petitioner has not indicated a desire to have their petition heard without their attendance and a good cause request is not pending, the board shall not commence or proceed with the hearing and shall produce a decision to deny the relief. </w:t>
      </w:r>
      <w:r w:rsidR="005C3A49" w:rsidRPr="00863F22">
        <w:rPr>
          <w:rFonts w:ascii="Bookman Old Style" w:hAnsi="Bookman Old Style"/>
          <w:sz w:val="20"/>
          <w:szCs w:val="20"/>
        </w:rPr>
        <w:t xml:space="preserve"> </w:t>
      </w:r>
    </w:p>
    <w:p w14:paraId="1EE03EDF" w14:textId="77777777" w:rsidR="00956916" w:rsidRPr="00863F22" w:rsidRDefault="00956916">
      <w:pPr>
        <w:rPr>
          <w:rFonts w:ascii="Bookman Old Style" w:hAnsi="Bookman Old Style"/>
          <w:sz w:val="20"/>
          <w:szCs w:val="20"/>
        </w:rPr>
      </w:pPr>
    </w:p>
    <w:p w14:paraId="1BD8A11F" w14:textId="77777777" w:rsidR="00956916" w:rsidRPr="00863F22" w:rsidRDefault="000F7F7A">
      <w:pPr>
        <w:rPr>
          <w:rFonts w:ascii="Bookman Old Style" w:hAnsi="Bookman Old Style"/>
          <w:sz w:val="20"/>
          <w:szCs w:val="20"/>
        </w:rPr>
      </w:pPr>
      <w:r w:rsidRPr="00863F22">
        <w:rPr>
          <w:rFonts w:ascii="Bookman Old Style" w:hAnsi="Bookman Old Style"/>
          <w:sz w:val="20"/>
          <w:szCs w:val="20"/>
        </w:rPr>
        <w:t xml:space="preserve">WHEREAS, </w:t>
      </w:r>
      <w:hyperlink r:id="rId19" w:history="1">
        <w:r w:rsidR="0053745A" w:rsidRPr="00863F22">
          <w:rPr>
            <w:rStyle w:val="Hyperlink"/>
            <w:rFonts w:ascii="Bookman Old Style" w:hAnsi="Bookman Old Style"/>
            <w:sz w:val="20"/>
            <w:szCs w:val="20"/>
          </w:rPr>
          <w:t>Rule</w:t>
        </w:r>
        <w:r w:rsidRPr="00863F22">
          <w:rPr>
            <w:rStyle w:val="Hyperlink"/>
            <w:rFonts w:ascii="Bookman Old Style" w:hAnsi="Bookman Old Style"/>
            <w:sz w:val="20"/>
            <w:szCs w:val="20"/>
          </w:rPr>
          <w:t xml:space="preserve"> Chapter 12D-9.021(6)</w:t>
        </w:r>
        <w:r w:rsidR="0053745A" w:rsidRPr="00863F22">
          <w:rPr>
            <w:rStyle w:val="Hyperlink"/>
            <w:rFonts w:ascii="Bookman Old Style" w:hAnsi="Bookman Old Style"/>
            <w:sz w:val="20"/>
            <w:szCs w:val="20"/>
          </w:rPr>
          <w:t>, F.A.C.</w:t>
        </w:r>
      </w:hyperlink>
      <w:r w:rsidR="0053745A" w:rsidRPr="00863F22">
        <w:rPr>
          <w:rFonts w:ascii="Bookman Old Style" w:hAnsi="Bookman Old Style"/>
          <w:sz w:val="20"/>
          <w:szCs w:val="20"/>
        </w:rPr>
        <w:t>,</w:t>
      </w:r>
      <w:r w:rsidRPr="00863F22">
        <w:rPr>
          <w:rFonts w:ascii="Bookman Old Style" w:hAnsi="Bookman Old Style"/>
          <w:sz w:val="20"/>
          <w:szCs w:val="20"/>
        </w:rPr>
        <w:t xml:space="preserve"> further provides that if the petitioner makes a good cause request before the recommended decision is issued, the board or board designee shall rule on the good cause request before determining that the recommended decision should be set aside and that the hearing should be rescheduled, or that the board should issue the decision.</w:t>
      </w:r>
    </w:p>
    <w:p w14:paraId="60A9DDE7" w14:textId="77777777" w:rsidR="000F7F7A" w:rsidRPr="00863F22" w:rsidRDefault="000F7F7A">
      <w:pPr>
        <w:rPr>
          <w:rFonts w:ascii="Bookman Old Style" w:hAnsi="Bookman Old Style"/>
          <w:sz w:val="20"/>
          <w:szCs w:val="20"/>
        </w:rPr>
      </w:pPr>
    </w:p>
    <w:p w14:paraId="6FB2D73C" w14:textId="77696101" w:rsidR="00956916" w:rsidRPr="00863F22" w:rsidRDefault="00956916">
      <w:pPr>
        <w:rPr>
          <w:rFonts w:ascii="Bookman Old Style" w:hAnsi="Bookman Old Style"/>
          <w:sz w:val="20"/>
          <w:szCs w:val="20"/>
        </w:rPr>
      </w:pPr>
      <w:r w:rsidRPr="00863F22">
        <w:rPr>
          <w:rFonts w:ascii="Bookman Old Style" w:hAnsi="Bookman Old Style"/>
          <w:sz w:val="20"/>
          <w:szCs w:val="20"/>
        </w:rPr>
        <w:t>NOW, THEREFORE, BE IT RESOLVED BY THE 20</w:t>
      </w:r>
      <w:r w:rsidR="00F509DE">
        <w:rPr>
          <w:rFonts w:ascii="Bookman Old Style" w:hAnsi="Bookman Old Style"/>
          <w:sz w:val="20"/>
          <w:szCs w:val="20"/>
        </w:rPr>
        <w:t>21</w:t>
      </w:r>
      <w:r w:rsidRPr="00863F22">
        <w:rPr>
          <w:rFonts w:ascii="Bookman Old Style" w:hAnsi="Bookman Old Style"/>
          <w:sz w:val="20"/>
          <w:szCs w:val="20"/>
        </w:rPr>
        <w:t xml:space="preserve"> </w:t>
      </w:r>
      <w:r w:rsidR="009C2854">
        <w:rPr>
          <w:rFonts w:ascii="Bookman Old Style" w:hAnsi="Bookman Old Style"/>
          <w:sz w:val="20"/>
          <w:szCs w:val="20"/>
        </w:rPr>
        <w:t>LIBERTY</w:t>
      </w:r>
      <w:r w:rsidRPr="00863F22">
        <w:rPr>
          <w:rFonts w:ascii="Bookman Old Style" w:hAnsi="Bookman Old Style"/>
          <w:sz w:val="20"/>
          <w:szCs w:val="20"/>
        </w:rPr>
        <w:t xml:space="preserve"> COUNTY VALUE ADJUSTMENT BOARD THAT:</w:t>
      </w:r>
    </w:p>
    <w:p w14:paraId="3AF7FD5A" w14:textId="77777777" w:rsidR="00956916" w:rsidRPr="00863F22" w:rsidRDefault="00956916">
      <w:pPr>
        <w:rPr>
          <w:rFonts w:ascii="Bookman Old Style" w:hAnsi="Bookman Old Style"/>
          <w:sz w:val="20"/>
          <w:szCs w:val="20"/>
        </w:rPr>
      </w:pPr>
    </w:p>
    <w:p w14:paraId="56BF368B" w14:textId="473E3D6C" w:rsidR="00956916" w:rsidRPr="00863F22" w:rsidRDefault="00956916" w:rsidP="00956916">
      <w:pPr>
        <w:pStyle w:val="List2"/>
        <w:numPr>
          <w:ilvl w:val="0"/>
          <w:numId w:val="19"/>
        </w:numPr>
        <w:rPr>
          <w:rFonts w:ascii="Bookman Old Style" w:hAnsi="Bookman Old Style"/>
          <w:sz w:val="20"/>
          <w:szCs w:val="20"/>
        </w:rPr>
      </w:pPr>
      <w:r w:rsidRPr="00863F22">
        <w:rPr>
          <w:rFonts w:ascii="Bookman Old Style" w:hAnsi="Bookman Old Style"/>
          <w:sz w:val="20"/>
          <w:szCs w:val="20"/>
        </w:rPr>
        <w:t xml:space="preserve">There is hereby authorized, established, imposed, </w:t>
      </w:r>
      <w:r w:rsidR="009C2854">
        <w:rPr>
          <w:rFonts w:ascii="Bookman Old Style" w:hAnsi="Bookman Old Style"/>
          <w:sz w:val="20"/>
          <w:szCs w:val="20"/>
        </w:rPr>
        <w:t xml:space="preserve">and </w:t>
      </w:r>
      <w:r w:rsidRPr="00863F22">
        <w:rPr>
          <w:rFonts w:ascii="Bookman Old Style" w:hAnsi="Bookman Old Style"/>
          <w:sz w:val="20"/>
          <w:szCs w:val="20"/>
        </w:rPr>
        <w:t>confirmed</w:t>
      </w:r>
      <w:r w:rsidR="009C2854">
        <w:rPr>
          <w:rFonts w:ascii="Bookman Old Style" w:hAnsi="Bookman Old Style"/>
          <w:sz w:val="20"/>
          <w:szCs w:val="20"/>
        </w:rPr>
        <w:t xml:space="preserve"> that a filing fee be collected</w:t>
      </w:r>
      <w:r w:rsidRPr="00863F22">
        <w:rPr>
          <w:rFonts w:ascii="Bookman Old Style" w:hAnsi="Bookman Old Style"/>
          <w:sz w:val="20"/>
          <w:szCs w:val="20"/>
        </w:rPr>
        <w:t xml:space="preserve"> </w:t>
      </w:r>
      <w:r w:rsidR="009C2854">
        <w:rPr>
          <w:rFonts w:ascii="Bookman Old Style" w:hAnsi="Bookman Old Style"/>
          <w:sz w:val="20"/>
          <w:szCs w:val="20"/>
        </w:rPr>
        <w:t>for</w:t>
      </w:r>
      <w:r w:rsidRPr="00863F22">
        <w:rPr>
          <w:rFonts w:ascii="Bookman Old Style" w:hAnsi="Bookman Old Style"/>
          <w:sz w:val="20"/>
          <w:szCs w:val="20"/>
        </w:rPr>
        <w:t xml:space="preserve"> each separate parcel of property covered by </w:t>
      </w:r>
      <w:r w:rsidR="003F3AE6" w:rsidRPr="00863F22">
        <w:rPr>
          <w:rFonts w:ascii="Bookman Old Style" w:hAnsi="Bookman Old Style"/>
          <w:sz w:val="20"/>
          <w:szCs w:val="20"/>
        </w:rPr>
        <w:t>p</w:t>
      </w:r>
      <w:r w:rsidRPr="00863F22">
        <w:rPr>
          <w:rFonts w:ascii="Bookman Old Style" w:hAnsi="Bookman Old Style"/>
          <w:sz w:val="20"/>
          <w:szCs w:val="20"/>
        </w:rPr>
        <w:t xml:space="preserve">etitions filed pursuant to </w:t>
      </w:r>
      <w:hyperlink r:id="rId20" w:history="1">
        <w:r w:rsidR="003F3AE6"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194.011</w:t>
        </w:r>
      </w:hyperlink>
      <w:r w:rsidRPr="00863F22">
        <w:rPr>
          <w:rFonts w:ascii="Bookman Old Style" w:hAnsi="Bookman Old Style"/>
          <w:sz w:val="20"/>
          <w:szCs w:val="20"/>
        </w:rPr>
        <w:t xml:space="preserve">.  Only a single filing fee shall be charged herein as to any particular parcel of property despite the existence of multiple issues and hearings pertaining to such parcel.  Said filing fee as provided herein shall be imposed by the </w:t>
      </w:r>
      <w:r w:rsidR="00CC0011" w:rsidRPr="00863F22">
        <w:rPr>
          <w:rFonts w:ascii="Bookman Old Style" w:hAnsi="Bookman Old Style"/>
          <w:sz w:val="20"/>
          <w:szCs w:val="20"/>
        </w:rPr>
        <w:t>c</w:t>
      </w:r>
      <w:r w:rsidRPr="00863F22">
        <w:rPr>
          <w:rFonts w:ascii="Bookman Old Style" w:hAnsi="Bookman Old Style"/>
          <w:sz w:val="20"/>
          <w:szCs w:val="20"/>
        </w:rPr>
        <w:t xml:space="preserve">lerk of the VAB on future year </w:t>
      </w:r>
      <w:r w:rsidR="00CC0011" w:rsidRPr="00863F22">
        <w:rPr>
          <w:rFonts w:ascii="Bookman Old Style" w:hAnsi="Bookman Old Style"/>
          <w:sz w:val="20"/>
          <w:szCs w:val="20"/>
        </w:rPr>
        <w:t>p</w:t>
      </w:r>
      <w:r w:rsidRPr="00863F22">
        <w:rPr>
          <w:rFonts w:ascii="Bookman Old Style" w:hAnsi="Bookman Old Style"/>
          <w:sz w:val="20"/>
          <w:szCs w:val="20"/>
        </w:rPr>
        <w:t xml:space="preserve">etitions unless specifically repealed or modified by the Value Adjustment Board.  </w:t>
      </w:r>
    </w:p>
    <w:p w14:paraId="009C4BF7" w14:textId="72755EC2" w:rsidR="00956916" w:rsidRPr="00863F22" w:rsidRDefault="00956916" w:rsidP="00CC0011">
      <w:pPr>
        <w:numPr>
          <w:ilvl w:val="0"/>
          <w:numId w:val="19"/>
        </w:numPr>
        <w:rPr>
          <w:rFonts w:ascii="Bookman Old Style" w:hAnsi="Bookman Old Style"/>
          <w:sz w:val="20"/>
          <w:szCs w:val="20"/>
        </w:rPr>
      </w:pPr>
      <w:r w:rsidRPr="00863F22">
        <w:rPr>
          <w:rFonts w:ascii="Bookman Old Style" w:hAnsi="Bookman Old Style"/>
          <w:sz w:val="20"/>
          <w:szCs w:val="20"/>
        </w:rPr>
        <w:t xml:space="preserve">The amount of such filing fee is hereby established in an amount of $15 per each separate, non-contiguous parcel of property, real or personal, covered by a </w:t>
      </w:r>
      <w:r w:rsidR="00CC0011" w:rsidRPr="00863F22">
        <w:rPr>
          <w:rFonts w:ascii="Bookman Old Style" w:hAnsi="Bookman Old Style"/>
          <w:sz w:val="20"/>
          <w:szCs w:val="20"/>
        </w:rPr>
        <w:t>p</w:t>
      </w:r>
      <w:r w:rsidRPr="00863F22">
        <w:rPr>
          <w:rFonts w:ascii="Bookman Old Style" w:hAnsi="Bookman Old Style"/>
          <w:sz w:val="20"/>
          <w:szCs w:val="20"/>
        </w:rPr>
        <w:t xml:space="preserve">etition filed pursuant to </w:t>
      </w:r>
      <w:hyperlink r:id="rId21" w:history="1">
        <w:r w:rsidR="00CC0011"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194.011</w:t>
        </w:r>
      </w:hyperlink>
      <w:r w:rsidRPr="00863F22">
        <w:rPr>
          <w:rFonts w:ascii="Bookman Old Style" w:hAnsi="Bookman Old Style"/>
          <w:sz w:val="20"/>
          <w:szCs w:val="20"/>
        </w:rPr>
        <w:t xml:space="preserve"> and subject to appeal.  An owner of contiguous, undeveloped parcels may file with the Value Adjustment Board a single joint petition</w:t>
      </w:r>
      <w:r w:rsidR="00CC0011" w:rsidRPr="00863F22">
        <w:rPr>
          <w:rFonts w:ascii="Bookman Old Style" w:hAnsi="Bookman Old Style"/>
          <w:sz w:val="20"/>
          <w:szCs w:val="20"/>
        </w:rPr>
        <w:t xml:space="preserve">. </w:t>
      </w:r>
      <w:r w:rsidRPr="00863F22">
        <w:rPr>
          <w:rFonts w:ascii="Bookman Old Style" w:hAnsi="Bookman Old Style"/>
          <w:sz w:val="20"/>
          <w:szCs w:val="20"/>
        </w:rPr>
        <w:t xml:space="preserve"> </w:t>
      </w:r>
      <w:r w:rsidR="00CC0011" w:rsidRPr="00863F22">
        <w:rPr>
          <w:rFonts w:ascii="Bookman Old Style" w:hAnsi="Bookman Old Style"/>
          <w:sz w:val="20"/>
          <w:szCs w:val="20"/>
        </w:rPr>
        <w:t>Prior to filing a petition for contiguous parcels, the taxpayer or agent is encour</w:t>
      </w:r>
      <w:r w:rsidR="00A77F0A" w:rsidRPr="00863F22">
        <w:rPr>
          <w:rFonts w:ascii="Bookman Old Style" w:hAnsi="Bookman Old Style"/>
          <w:sz w:val="20"/>
          <w:szCs w:val="20"/>
        </w:rPr>
        <w:t xml:space="preserve">aged to first submit to the </w:t>
      </w:r>
      <w:r w:rsidR="009C2854">
        <w:rPr>
          <w:rFonts w:ascii="Bookman Old Style" w:hAnsi="Bookman Old Style"/>
          <w:sz w:val="20"/>
          <w:szCs w:val="20"/>
        </w:rPr>
        <w:t xml:space="preserve">Liberty </w:t>
      </w:r>
      <w:r w:rsidR="00CC0011" w:rsidRPr="00863F22">
        <w:rPr>
          <w:rFonts w:ascii="Bookman Old Style" w:hAnsi="Bookman Old Style"/>
          <w:sz w:val="20"/>
          <w:szCs w:val="20"/>
        </w:rPr>
        <w:t xml:space="preserve">County Property Appraiser’s Office (PAO) a list of parcels for review and agreement to establish </w:t>
      </w:r>
      <w:r w:rsidRPr="00863F22">
        <w:rPr>
          <w:rFonts w:ascii="Bookman Old Style" w:hAnsi="Bookman Old Style"/>
          <w:sz w:val="20"/>
          <w:szCs w:val="20"/>
        </w:rPr>
        <w:t xml:space="preserve">such parcels </w:t>
      </w:r>
      <w:r w:rsidR="00CC0011" w:rsidRPr="00863F22">
        <w:rPr>
          <w:rFonts w:ascii="Bookman Old Style" w:hAnsi="Bookman Old Style"/>
          <w:sz w:val="20"/>
          <w:szCs w:val="20"/>
        </w:rPr>
        <w:t>as being</w:t>
      </w:r>
      <w:r w:rsidRPr="00863F22">
        <w:rPr>
          <w:rFonts w:ascii="Bookman Old Style" w:hAnsi="Bookman Old Style"/>
          <w:sz w:val="20"/>
          <w:szCs w:val="20"/>
        </w:rPr>
        <w:t xml:space="preserve"> substantially similar in nature.  For joint petitions, </w:t>
      </w:r>
      <w:r w:rsidR="00D722F1" w:rsidRPr="00863F22">
        <w:rPr>
          <w:rFonts w:ascii="Bookman Old Style" w:hAnsi="Bookman Old Style"/>
          <w:sz w:val="20"/>
          <w:szCs w:val="20"/>
        </w:rPr>
        <w:t>the</w:t>
      </w:r>
      <w:r w:rsidRPr="00863F22">
        <w:rPr>
          <w:rFonts w:ascii="Bookman Old Style" w:hAnsi="Bookman Old Style"/>
          <w:sz w:val="20"/>
          <w:szCs w:val="20"/>
        </w:rPr>
        <w:t xml:space="preserve"> filing fee </w:t>
      </w:r>
      <w:r w:rsidR="00D722F1" w:rsidRPr="00863F22">
        <w:rPr>
          <w:rFonts w:ascii="Bookman Old Style" w:hAnsi="Bookman Old Style"/>
          <w:sz w:val="20"/>
          <w:szCs w:val="20"/>
        </w:rPr>
        <w:t xml:space="preserve">is $15 for the first parcel and </w:t>
      </w:r>
      <w:r w:rsidRPr="00863F22">
        <w:rPr>
          <w:rFonts w:ascii="Bookman Old Style" w:hAnsi="Bookman Old Style"/>
          <w:sz w:val="20"/>
          <w:szCs w:val="20"/>
        </w:rPr>
        <w:t xml:space="preserve">$5 for each </w:t>
      </w:r>
      <w:r w:rsidR="00D722F1" w:rsidRPr="00863F22">
        <w:rPr>
          <w:rFonts w:ascii="Bookman Old Style" w:hAnsi="Bookman Old Style"/>
          <w:sz w:val="20"/>
          <w:szCs w:val="20"/>
        </w:rPr>
        <w:t xml:space="preserve">subsequent </w:t>
      </w:r>
      <w:r w:rsidRPr="00863F22">
        <w:rPr>
          <w:rFonts w:ascii="Bookman Old Style" w:hAnsi="Bookman Old Style"/>
          <w:sz w:val="20"/>
          <w:szCs w:val="20"/>
        </w:rPr>
        <w:t>parcel included in the petition</w:t>
      </w:r>
      <w:r w:rsidR="00D722F1" w:rsidRPr="00863F22">
        <w:rPr>
          <w:rFonts w:ascii="Bookman Old Style" w:hAnsi="Bookman Old Style"/>
          <w:sz w:val="20"/>
          <w:szCs w:val="20"/>
        </w:rPr>
        <w:t>; there is</w:t>
      </w:r>
      <w:r w:rsidRPr="00863F22">
        <w:rPr>
          <w:rFonts w:ascii="Bookman Old Style" w:hAnsi="Bookman Old Style"/>
          <w:sz w:val="20"/>
          <w:szCs w:val="20"/>
        </w:rPr>
        <w:t xml:space="preserve"> a minimum $15 filing fee.  No such filing fee will be required by a taxpayer who demonstrates at the time of filing, by an appropriate certificate or other documentation issued by the Department of Children and Family Services and submitted with the petition, that they are receiving assistance under </w:t>
      </w:r>
      <w:hyperlink r:id="rId22" w:history="1">
        <w:r w:rsidRPr="00863F22">
          <w:rPr>
            <w:rStyle w:val="Hyperlink"/>
            <w:rFonts w:ascii="Bookman Old Style" w:hAnsi="Bookman Old Style"/>
            <w:sz w:val="20"/>
            <w:szCs w:val="20"/>
          </w:rPr>
          <w:t>Chapter 414, Florida Statutes</w:t>
        </w:r>
      </w:hyperlink>
      <w:r w:rsidRPr="00863F22">
        <w:rPr>
          <w:rFonts w:ascii="Bookman Old Style" w:hAnsi="Bookman Old Style"/>
          <w:sz w:val="20"/>
          <w:szCs w:val="20"/>
        </w:rPr>
        <w:t xml:space="preserve"> or with respect to an appeal from any of the following:  (</w:t>
      </w:r>
      <w:r w:rsidR="00D722F1" w:rsidRPr="00863F22">
        <w:rPr>
          <w:rFonts w:ascii="Bookman Old Style" w:hAnsi="Bookman Old Style"/>
          <w:sz w:val="20"/>
          <w:szCs w:val="20"/>
        </w:rPr>
        <w:t>a</w:t>
      </w:r>
      <w:r w:rsidRPr="00863F22">
        <w:rPr>
          <w:rFonts w:ascii="Bookman Old Style" w:hAnsi="Bookman Old Style"/>
          <w:sz w:val="20"/>
          <w:szCs w:val="20"/>
        </w:rPr>
        <w:t xml:space="preserve">) Disapproval of homestead exemption under </w:t>
      </w:r>
      <w:hyperlink r:id="rId23" w:history="1">
        <w:r w:rsidR="00D722F1"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196.151</w:t>
        </w:r>
      </w:hyperlink>
      <w:r w:rsidR="0053745A" w:rsidRPr="00863F22">
        <w:rPr>
          <w:rFonts w:ascii="Bookman Old Style" w:hAnsi="Bookman Old Style"/>
          <w:sz w:val="20"/>
          <w:szCs w:val="20"/>
        </w:rPr>
        <w:t>;</w:t>
      </w:r>
      <w:r w:rsidRPr="00863F22">
        <w:rPr>
          <w:rFonts w:ascii="Bookman Old Style" w:hAnsi="Bookman Old Style"/>
          <w:sz w:val="20"/>
          <w:szCs w:val="20"/>
        </w:rPr>
        <w:t xml:space="preserve"> or (</w:t>
      </w:r>
      <w:r w:rsidR="00D722F1" w:rsidRPr="00863F22">
        <w:rPr>
          <w:rFonts w:ascii="Bookman Old Style" w:hAnsi="Bookman Old Style"/>
          <w:sz w:val="20"/>
          <w:szCs w:val="20"/>
        </w:rPr>
        <w:t>b</w:t>
      </w:r>
      <w:r w:rsidRPr="00863F22">
        <w:rPr>
          <w:rFonts w:ascii="Bookman Old Style" w:hAnsi="Bookman Old Style"/>
          <w:sz w:val="20"/>
          <w:szCs w:val="20"/>
        </w:rPr>
        <w:t xml:space="preserve">) </w:t>
      </w:r>
      <w:r w:rsidR="00D722F1" w:rsidRPr="00863F22">
        <w:rPr>
          <w:rFonts w:ascii="Bookman Old Style" w:hAnsi="Bookman Old Style"/>
          <w:sz w:val="20"/>
          <w:szCs w:val="20"/>
        </w:rPr>
        <w:t>d</w:t>
      </w:r>
      <w:r w:rsidRPr="00863F22">
        <w:rPr>
          <w:rFonts w:ascii="Bookman Old Style" w:hAnsi="Bookman Old Style"/>
          <w:sz w:val="20"/>
          <w:szCs w:val="20"/>
        </w:rPr>
        <w:t xml:space="preserve">isapproval of </w:t>
      </w:r>
      <w:r w:rsidR="00D722F1" w:rsidRPr="00863F22">
        <w:rPr>
          <w:rFonts w:ascii="Bookman Old Style" w:hAnsi="Bookman Old Style"/>
          <w:sz w:val="20"/>
          <w:szCs w:val="20"/>
        </w:rPr>
        <w:t xml:space="preserve">homestead tax deferral under </w:t>
      </w:r>
      <w:hyperlink r:id="rId24" w:history="1">
        <w:r w:rsidR="00D722F1"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197.253</w:t>
        </w:r>
      </w:hyperlink>
      <w:r w:rsidRPr="00863F22">
        <w:rPr>
          <w:rFonts w:ascii="Bookman Old Style" w:hAnsi="Bookman Old Style"/>
          <w:sz w:val="20"/>
          <w:szCs w:val="20"/>
        </w:rPr>
        <w:t>.</w:t>
      </w:r>
    </w:p>
    <w:p w14:paraId="071AF191" w14:textId="77777777" w:rsidR="00A77F0A" w:rsidRPr="00863F22" w:rsidRDefault="00A77F0A" w:rsidP="00A77F0A">
      <w:pPr>
        <w:ind w:left="720"/>
        <w:rPr>
          <w:rFonts w:ascii="Bookman Old Style" w:hAnsi="Bookman Old Style"/>
          <w:sz w:val="20"/>
          <w:szCs w:val="20"/>
        </w:rPr>
      </w:pPr>
    </w:p>
    <w:p w14:paraId="2FB1E8F2" w14:textId="77777777" w:rsidR="00A77F0A" w:rsidRPr="00863F22" w:rsidRDefault="00A77F0A" w:rsidP="00A77F0A">
      <w:pPr>
        <w:ind w:left="720"/>
        <w:rPr>
          <w:rFonts w:ascii="Bookman Old Style" w:hAnsi="Bookman Old Style"/>
          <w:sz w:val="20"/>
          <w:szCs w:val="20"/>
        </w:rPr>
      </w:pPr>
    </w:p>
    <w:p w14:paraId="574263C4" w14:textId="77777777" w:rsidR="00956916" w:rsidRPr="00863F22" w:rsidRDefault="00956916" w:rsidP="00956916">
      <w:pPr>
        <w:numPr>
          <w:ilvl w:val="0"/>
          <w:numId w:val="19"/>
        </w:numPr>
        <w:rPr>
          <w:rFonts w:ascii="Bookman Old Style" w:hAnsi="Bookman Old Style"/>
          <w:sz w:val="20"/>
          <w:szCs w:val="20"/>
        </w:rPr>
      </w:pPr>
      <w:r w:rsidRPr="00863F22">
        <w:rPr>
          <w:rFonts w:ascii="Bookman Old Style" w:hAnsi="Bookman Old Style"/>
          <w:sz w:val="20"/>
          <w:szCs w:val="20"/>
        </w:rPr>
        <w:t>Said filing fee instituted and imposed hereby shall be paid to the Clerk of the VAB at the time of filing.</w:t>
      </w:r>
      <w:r w:rsidR="008225CD" w:rsidRPr="00863F22">
        <w:rPr>
          <w:rFonts w:ascii="Bookman Old Style" w:hAnsi="Bookman Old Style"/>
          <w:sz w:val="20"/>
          <w:szCs w:val="20"/>
        </w:rPr>
        <w:t xml:space="preserve">  </w:t>
      </w:r>
      <w:r w:rsidRPr="00863F22">
        <w:rPr>
          <w:rFonts w:ascii="Bookman Old Style" w:hAnsi="Bookman Old Style"/>
          <w:sz w:val="20"/>
          <w:szCs w:val="20"/>
        </w:rPr>
        <w:t>Failure to p</w:t>
      </w:r>
      <w:r w:rsidR="00D722F1" w:rsidRPr="00863F22">
        <w:rPr>
          <w:rFonts w:ascii="Bookman Old Style" w:hAnsi="Bookman Old Style"/>
          <w:sz w:val="20"/>
          <w:szCs w:val="20"/>
        </w:rPr>
        <w:t>ay said fee will result in the p</w:t>
      </w:r>
      <w:r w:rsidRPr="00863F22">
        <w:rPr>
          <w:rFonts w:ascii="Bookman Old Style" w:hAnsi="Bookman Old Style"/>
          <w:sz w:val="20"/>
          <w:szCs w:val="20"/>
        </w:rPr>
        <w:t xml:space="preserve">etition being incomplete; and the </w:t>
      </w:r>
      <w:r w:rsidR="00D722F1" w:rsidRPr="00863F22">
        <w:rPr>
          <w:rFonts w:ascii="Bookman Old Style" w:hAnsi="Bookman Old Style"/>
          <w:sz w:val="20"/>
          <w:szCs w:val="20"/>
        </w:rPr>
        <w:t>p</w:t>
      </w:r>
      <w:r w:rsidRPr="00863F22">
        <w:rPr>
          <w:rFonts w:ascii="Bookman Old Style" w:hAnsi="Bookman Old Style"/>
          <w:sz w:val="20"/>
          <w:szCs w:val="20"/>
        </w:rPr>
        <w:t>etition may be rejected.</w:t>
      </w:r>
      <w:r w:rsidR="007E33C2" w:rsidRPr="00863F22">
        <w:rPr>
          <w:rFonts w:ascii="Bookman Old Style" w:hAnsi="Bookman Old Style"/>
          <w:sz w:val="20"/>
          <w:szCs w:val="20"/>
        </w:rPr>
        <w:t xml:space="preserve">  </w:t>
      </w:r>
      <w:r w:rsidRPr="00863F22">
        <w:rPr>
          <w:rFonts w:ascii="Bookman Old Style" w:hAnsi="Bookman Old Style"/>
          <w:sz w:val="20"/>
          <w:szCs w:val="20"/>
        </w:rPr>
        <w:t xml:space="preserve">The collection, failure to pay, allocation, refund, and waiver of the filing fee shall be as governed by </w:t>
      </w:r>
      <w:hyperlink r:id="rId25" w:history="1">
        <w:r w:rsidR="00D722F1"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194.013</w:t>
        </w:r>
      </w:hyperlink>
      <w:r w:rsidRPr="00863F22">
        <w:rPr>
          <w:rFonts w:ascii="Bookman Old Style" w:hAnsi="Bookman Old Style"/>
          <w:sz w:val="20"/>
          <w:szCs w:val="20"/>
        </w:rPr>
        <w:t>.</w:t>
      </w:r>
    </w:p>
    <w:p w14:paraId="28FA4237" w14:textId="77777777" w:rsidR="00FD6DD5" w:rsidRPr="00863F22" w:rsidRDefault="00FD6DD5" w:rsidP="00FD6DD5">
      <w:pPr>
        <w:numPr>
          <w:ilvl w:val="0"/>
          <w:numId w:val="19"/>
        </w:numPr>
        <w:rPr>
          <w:rFonts w:ascii="Bookman Old Style" w:hAnsi="Bookman Old Style"/>
          <w:sz w:val="20"/>
          <w:szCs w:val="20"/>
        </w:rPr>
      </w:pPr>
      <w:r w:rsidRPr="00863F22">
        <w:rPr>
          <w:rFonts w:ascii="Bookman Old Style" w:hAnsi="Bookman Old Style"/>
          <w:sz w:val="20"/>
          <w:szCs w:val="20"/>
        </w:rPr>
        <w:t>The Board authorizes VAB counsel, in conjunction with the VAB clerk</w:t>
      </w:r>
      <w:r w:rsidR="005B184E" w:rsidRPr="00863F22">
        <w:rPr>
          <w:rFonts w:ascii="Bookman Old Style" w:hAnsi="Bookman Old Style"/>
          <w:sz w:val="20"/>
          <w:szCs w:val="20"/>
        </w:rPr>
        <w:t>,</w:t>
      </w:r>
      <w:r w:rsidRPr="00863F22">
        <w:rPr>
          <w:rFonts w:ascii="Bookman Old Style" w:hAnsi="Bookman Old Style"/>
          <w:sz w:val="20"/>
          <w:szCs w:val="20"/>
        </w:rPr>
        <w:t xml:space="preserve"> to modify Board-approved hearing days if it becomes necessary in order to comply with </w:t>
      </w:r>
      <w:hyperlink r:id="rId26" w:history="1">
        <w:r w:rsidR="0053745A" w:rsidRPr="00863F22">
          <w:rPr>
            <w:rStyle w:val="Hyperlink"/>
            <w:rFonts w:ascii="Bookman Old Style" w:hAnsi="Bookman Old Style"/>
            <w:sz w:val="20"/>
            <w:szCs w:val="20"/>
          </w:rPr>
          <w:t xml:space="preserve">Rule </w:t>
        </w:r>
        <w:r w:rsidRPr="00863F22">
          <w:rPr>
            <w:rStyle w:val="Hyperlink"/>
            <w:rFonts w:ascii="Bookman Old Style" w:hAnsi="Bookman Old Style"/>
            <w:sz w:val="20"/>
            <w:szCs w:val="20"/>
          </w:rPr>
          <w:t>Chapter 12D-9.005</w:t>
        </w:r>
        <w:r w:rsidR="0053745A" w:rsidRPr="00863F22">
          <w:rPr>
            <w:rStyle w:val="Hyperlink"/>
            <w:rFonts w:ascii="Bookman Old Style" w:hAnsi="Bookman Old Style"/>
            <w:sz w:val="20"/>
            <w:szCs w:val="20"/>
          </w:rPr>
          <w:t>, F.A.C</w:t>
        </w:r>
      </w:hyperlink>
      <w:r w:rsidRPr="00863F22">
        <w:rPr>
          <w:rFonts w:ascii="Bookman Old Style" w:hAnsi="Bookman Old Style"/>
          <w:sz w:val="20"/>
          <w:szCs w:val="20"/>
        </w:rPr>
        <w:t xml:space="preserve">.  </w:t>
      </w:r>
    </w:p>
    <w:p w14:paraId="23CAF845" w14:textId="77777777" w:rsidR="00956916" w:rsidRPr="00863F22" w:rsidRDefault="00956916" w:rsidP="00956916">
      <w:pPr>
        <w:numPr>
          <w:ilvl w:val="0"/>
          <w:numId w:val="19"/>
        </w:numPr>
        <w:rPr>
          <w:rFonts w:ascii="Bookman Old Style" w:hAnsi="Bookman Old Style"/>
          <w:sz w:val="20"/>
          <w:szCs w:val="20"/>
        </w:rPr>
      </w:pPr>
      <w:r w:rsidRPr="00863F22">
        <w:rPr>
          <w:rFonts w:ascii="Bookman Old Style" w:hAnsi="Bookman Old Style"/>
          <w:sz w:val="20"/>
          <w:szCs w:val="20"/>
        </w:rPr>
        <w:t xml:space="preserve">The VAB </w:t>
      </w:r>
      <w:r w:rsidR="00D722F1" w:rsidRPr="00863F22">
        <w:rPr>
          <w:rFonts w:ascii="Bookman Old Style" w:hAnsi="Bookman Old Style"/>
          <w:sz w:val="20"/>
          <w:szCs w:val="20"/>
        </w:rPr>
        <w:t>c</w:t>
      </w:r>
      <w:r w:rsidRPr="00863F22">
        <w:rPr>
          <w:rFonts w:ascii="Bookman Old Style" w:hAnsi="Bookman Old Style"/>
          <w:sz w:val="20"/>
          <w:szCs w:val="20"/>
        </w:rPr>
        <w:t>lerk is authorized to charge 15¢ per page for all copies made at the request of a petitioner and $5 for copies provided on a CD.</w:t>
      </w:r>
    </w:p>
    <w:p w14:paraId="3CA34310" w14:textId="77777777" w:rsidR="00956916" w:rsidRPr="00863F22" w:rsidRDefault="00956916" w:rsidP="00956916">
      <w:pPr>
        <w:numPr>
          <w:ilvl w:val="0"/>
          <w:numId w:val="19"/>
        </w:numPr>
        <w:rPr>
          <w:rFonts w:ascii="Bookman Old Style" w:hAnsi="Bookman Old Style"/>
          <w:sz w:val="20"/>
          <w:szCs w:val="20"/>
        </w:rPr>
      </w:pPr>
      <w:r w:rsidRPr="00863F22">
        <w:rPr>
          <w:rFonts w:ascii="Bookman Old Style" w:hAnsi="Bookman Old Style"/>
          <w:sz w:val="20"/>
          <w:szCs w:val="20"/>
        </w:rPr>
        <w:t xml:space="preserve">It is the intent of this </w:t>
      </w:r>
      <w:r w:rsidR="00D617A7" w:rsidRPr="00863F22">
        <w:rPr>
          <w:rFonts w:ascii="Bookman Old Style" w:hAnsi="Bookman Old Style"/>
          <w:sz w:val="20"/>
          <w:szCs w:val="20"/>
        </w:rPr>
        <w:t>r</w:t>
      </w:r>
      <w:r w:rsidRPr="00863F22">
        <w:rPr>
          <w:rFonts w:ascii="Bookman Old Style" w:hAnsi="Bookman Old Style"/>
          <w:sz w:val="20"/>
          <w:szCs w:val="20"/>
        </w:rPr>
        <w:t xml:space="preserve">esolution to adopt and incorporate the provisions of </w:t>
      </w:r>
      <w:hyperlink r:id="rId27" w:history="1">
        <w:r w:rsidR="007E33C2"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194.013</w:t>
        </w:r>
      </w:hyperlink>
      <w:r w:rsidRPr="00863F22">
        <w:rPr>
          <w:rFonts w:ascii="Bookman Old Style" w:hAnsi="Bookman Old Style"/>
          <w:sz w:val="20"/>
          <w:szCs w:val="20"/>
        </w:rPr>
        <w:t>, and such provisions are controlling as to any inconsistent provisions hereof.</w:t>
      </w:r>
    </w:p>
    <w:p w14:paraId="5E50880A" w14:textId="77777777" w:rsidR="00956916" w:rsidRPr="00863F22" w:rsidRDefault="00956916" w:rsidP="00956916">
      <w:pPr>
        <w:numPr>
          <w:ilvl w:val="0"/>
          <w:numId w:val="19"/>
        </w:numPr>
        <w:rPr>
          <w:rFonts w:ascii="Bookman Old Style" w:hAnsi="Bookman Old Style"/>
          <w:sz w:val="20"/>
          <w:szCs w:val="20"/>
        </w:rPr>
      </w:pPr>
      <w:r w:rsidRPr="00863F22">
        <w:rPr>
          <w:rFonts w:ascii="Bookman Old Style" w:hAnsi="Bookman Old Style"/>
          <w:sz w:val="20"/>
          <w:szCs w:val="20"/>
        </w:rPr>
        <w:t xml:space="preserve">Any </w:t>
      </w:r>
      <w:r w:rsidR="007E33C2" w:rsidRPr="00863F22">
        <w:rPr>
          <w:rFonts w:ascii="Bookman Old Style" w:hAnsi="Bookman Old Style"/>
          <w:sz w:val="20"/>
          <w:szCs w:val="20"/>
        </w:rPr>
        <w:t>p</w:t>
      </w:r>
      <w:r w:rsidRPr="00863F22">
        <w:rPr>
          <w:rFonts w:ascii="Bookman Old Style" w:hAnsi="Bookman Old Style"/>
          <w:sz w:val="20"/>
          <w:szCs w:val="20"/>
        </w:rPr>
        <w:t xml:space="preserve">etition filed after the statutory deadline for petition filing, as set forth by </w:t>
      </w:r>
      <w:hyperlink r:id="rId28" w:history="1">
        <w:r w:rsidR="007E33C2" w:rsidRPr="00863F22">
          <w:rPr>
            <w:rStyle w:val="Hyperlink"/>
            <w:rFonts w:ascii="Bookman Old Style" w:hAnsi="Bookman Old Style"/>
            <w:sz w:val="20"/>
            <w:szCs w:val="20"/>
          </w:rPr>
          <w:t xml:space="preserve">Fla. Stat. § </w:t>
        </w:r>
        <w:r w:rsidRPr="00863F22">
          <w:rPr>
            <w:rStyle w:val="Hyperlink"/>
            <w:rFonts w:ascii="Bookman Old Style" w:hAnsi="Bookman Old Style"/>
            <w:sz w:val="20"/>
            <w:szCs w:val="20"/>
          </w:rPr>
          <w:t>194.011(3)</w:t>
        </w:r>
      </w:hyperlink>
      <w:r w:rsidRPr="00863F22">
        <w:rPr>
          <w:rFonts w:ascii="Bookman Old Style" w:hAnsi="Bookman Old Style"/>
          <w:sz w:val="20"/>
          <w:szCs w:val="20"/>
        </w:rPr>
        <w:t xml:space="preserve">, may be considered for determination as to whether there is good cause justifying the late filing.  If no good cause for the late filing is found to exist, the petition will not be scheduled for further consideration or hearing.  VAB </w:t>
      </w:r>
      <w:r w:rsidR="00D617A7" w:rsidRPr="00863F22">
        <w:rPr>
          <w:rFonts w:ascii="Bookman Old Style" w:hAnsi="Bookman Old Style"/>
          <w:sz w:val="20"/>
          <w:szCs w:val="20"/>
        </w:rPr>
        <w:t>c</w:t>
      </w:r>
      <w:r w:rsidRPr="00863F22">
        <w:rPr>
          <w:rFonts w:ascii="Bookman Old Style" w:hAnsi="Bookman Old Style"/>
          <w:sz w:val="20"/>
          <w:szCs w:val="20"/>
        </w:rPr>
        <w:t xml:space="preserve">ounsel, in conjunction with the VAB </w:t>
      </w:r>
      <w:r w:rsidR="00D617A7" w:rsidRPr="00863F22">
        <w:rPr>
          <w:rFonts w:ascii="Bookman Old Style" w:hAnsi="Bookman Old Style"/>
          <w:sz w:val="20"/>
          <w:szCs w:val="20"/>
        </w:rPr>
        <w:t>c</w:t>
      </w:r>
      <w:r w:rsidRPr="00863F22">
        <w:rPr>
          <w:rFonts w:ascii="Bookman Old Style" w:hAnsi="Bookman Old Style"/>
          <w:sz w:val="20"/>
          <w:szCs w:val="20"/>
        </w:rPr>
        <w:t>lerk, is designated to make that determination.</w:t>
      </w:r>
    </w:p>
    <w:p w14:paraId="527FCF8F" w14:textId="0E4A5930" w:rsidR="00956916" w:rsidRPr="00863F22" w:rsidRDefault="000F7F7A" w:rsidP="000F7F7A">
      <w:pPr>
        <w:numPr>
          <w:ilvl w:val="0"/>
          <w:numId w:val="19"/>
        </w:numPr>
        <w:rPr>
          <w:rFonts w:ascii="Bookman Old Style" w:hAnsi="Bookman Old Style"/>
          <w:sz w:val="20"/>
          <w:szCs w:val="20"/>
        </w:rPr>
      </w:pPr>
      <w:r w:rsidRPr="00863F22">
        <w:rPr>
          <w:rFonts w:ascii="Bookman Old Style" w:hAnsi="Bookman Old Style"/>
          <w:sz w:val="20"/>
          <w:szCs w:val="20"/>
        </w:rPr>
        <w:t xml:space="preserve">The </w:t>
      </w:r>
      <w:r w:rsidR="009C2854">
        <w:rPr>
          <w:rFonts w:ascii="Bookman Old Style" w:hAnsi="Bookman Old Style"/>
          <w:sz w:val="20"/>
          <w:szCs w:val="20"/>
        </w:rPr>
        <w:t>Liberty</w:t>
      </w:r>
      <w:r w:rsidRPr="00863F22">
        <w:rPr>
          <w:rFonts w:ascii="Bookman Old Style" w:hAnsi="Bookman Old Style"/>
          <w:sz w:val="20"/>
          <w:szCs w:val="20"/>
        </w:rPr>
        <w:t xml:space="preserve"> County VAB will no</w:t>
      </w:r>
      <w:r w:rsidR="009C2854">
        <w:rPr>
          <w:rFonts w:ascii="Bookman Old Style" w:hAnsi="Bookman Old Style"/>
          <w:sz w:val="20"/>
          <w:szCs w:val="20"/>
        </w:rPr>
        <w:t xml:space="preserve">t </w:t>
      </w:r>
      <w:r w:rsidRPr="00863F22">
        <w:rPr>
          <w:rFonts w:ascii="Bookman Old Style" w:hAnsi="Bookman Old Style"/>
          <w:sz w:val="20"/>
          <w:szCs w:val="20"/>
        </w:rPr>
        <w:t xml:space="preserve">hold no show hearings.  If the petitioner does not arrive </w:t>
      </w:r>
      <w:r w:rsidR="006D2D86">
        <w:rPr>
          <w:rFonts w:ascii="Bookman Old Style" w:hAnsi="Bookman Old Style"/>
          <w:sz w:val="20"/>
          <w:szCs w:val="20"/>
        </w:rPr>
        <w:t xml:space="preserve">within 15 minutes of his/her </w:t>
      </w:r>
      <w:r w:rsidRPr="00863F22">
        <w:rPr>
          <w:rFonts w:ascii="Bookman Old Style" w:hAnsi="Bookman Old Style"/>
          <w:sz w:val="20"/>
          <w:szCs w:val="20"/>
        </w:rPr>
        <w:t xml:space="preserve">scheduled hearing </w:t>
      </w:r>
      <w:r w:rsidR="006D2D86">
        <w:rPr>
          <w:rFonts w:ascii="Bookman Old Style" w:hAnsi="Bookman Old Style"/>
          <w:sz w:val="20"/>
          <w:szCs w:val="20"/>
        </w:rPr>
        <w:t>time</w:t>
      </w:r>
      <w:r w:rsidRPr="00863F22">
        <w:rPr>
          <w:rFonts w:ascii="Bookman Old Style" w:hAnsi="Bookman Old Style"/>
          <w:sz w:val="20"/>
          <w:szCs w:val="20"/>
        </w:rPr>
        <w:t xml:space="preserve">, </w:t>
      </w:r>
      <w:r w:rsidR="006D2D86">
        <w:rPr>
          <w:rFonts w:ascii="Bookman Old Style" w:hAnsi="Bookman Old Style"/>
          <w:sz w:val="20"/>
          <w:szCs w:val="20"/>
        </w:rPr>
        <w:t xml:space="preserve">and the petitioner has not notified the VAB clerk of his/her delay or inability to attend or provided good cause reason to reschedule, </w:t>
      </w:r>
      <w:r w:rsidRPr="00863F22">
        <w:rPr>
          <w:rFonts w:ascii="Bookman Old Style" w:hAnsi="Bookman Old Style"/>
          <w:sz w:val="20"/>
          <w:szCs w:val="20"/>
        </w:rPr>
        <w:t>the petitioner is considered to have defaulted</w:t>
      </w:r>
      <w:r w:rsidR="006D2D86">
        <w:rPr>
          <w:rFonts w:ascii="Bookman Old Style" w:hAnsi="Bookman Old Style"/>
          <w:sz w:val="20"/>
          <w:szCs w:val="20"/>
        </w:rPr>
        <w:t xml:space="preserve">, </w:t>
      </w:r>
      <w:r w:rsidR="009C2854">
        <w:rPr>
          <w:rFonts w:ascii="Bookman Old Style" w:hAnsi="Bookman Old Style"/>
          <w:sz w:val="20"/>
          <w:szCs w:val="20"/>
        </w:rPr>
        <w:t xml:space="preserve">and </w:t>
      </w:r>
      <w:r w:rsidR="006D2D86">
        <w:rPr>
          <w:rFonts w:ascii="Bookman Old Style" w:hAnsi="Bookman Old Style"/>
          <w:sz w:val="20"/>
          <w:szCs w:val="20"/>
        </w:rPr>
        <w:t>t</w:t>
      </w:r>
      <w:r w:rsidRPr="00863F22">
        <w:rPr>
          <w:rFonts w:ascii="Bookman Old Style" w:hAnsi="Bookman Old Style"/>
          <w:sz w:val="20"/>
          <w:szCs w:val="20"/>
        </w:rPr>
        <w:t xml:space="preserve">he </w:t>
      </w:r>
      <w:r w:rsidR="00EC2AC6" w:rsidRPr="00863F22">
        <w:rPr>
          <w:rFonts w:ascii="Bookman Old Style" w:hAnsi="Bookman Old Style"/>
          <w:sz w:val="20"/>
          <w:szCs w:val="20"/>
        </w:rPr>
        <w:t>Board will render</w:t>
      </w:r>
      <w:r w:rsidR="00A77F0A" w:rsidRPr="00863F22">
        <w:rPr>
          <w:rFonts w:ascii="Bookman Old Style" w:hAnsi="Bookman Old Style"/>
          <w:sz w:val="20"/>
          <w:szCs w:val="20"/>
        </w:rPr>
        <w:t xml:space="preserve"> a </w:t>
      </w:r>
      <w:r w:rsidR="00E5454E">
        <w:rPr>
          <w:rFonts w:ascii="Bookman Old Style" w:hAnsi="Bookman Old Style"/>
          <w:sz w:val="20"/>
          <w:szCs w:val="20"/>
        </w:rPr>
        <w:t xml:space="preserve">non-appearance </w:t>
      </w:r>
      <w:r w:rsidR="00A77F0A" w:rsidRPr="00863F22">
        <w:rPr>
          <w:rFonts w:ascii="Bookman Old Style" w:hAnsi="Bookman Old Style"/>
          <w:sz w:val="20"/>
          <w:szCs w:val="20"/>
        </w:rPr>
        <w:t xml:space="preserve">written </w:t>
      </w:r>
      <w:r w:rsidR="00E5454E">
        <w:rPr>
          <w:rFonts w:ascii="Bookman Old Style" w:hAnsi="Bookman Old Style"/>
          <w:sz w:val="20"/>
          <w:szCs w:val="20"/>
        </w:rPr>
        <w:t>recommendation</w:t>
      </w:r>
      <w:r w:rsidRPr="00863F22">
        <w:rPr>
          <w:rFonts w:ascii="Bookman Old Style" w:hAnsi="Bookman Old Style"/>
          <w:sz w:val="20"/>
          <w:szCs w:val="20"/>
        </w:rPr>
        <w:t xml:space="preserve"> upholding the property appraiser's position.  A petitioner can submit a good cause request to the VAB clerk for not appearing at the scheduled hearing as long as the good cause request is filed before the VAB renders a final decision.  VAB counsel, in conjunction with the VAB clerk, is designated to make good cause determinations.  If good cause is granted, the VAB clerk will reschedule the hearing. </w:t>
      </w:r>
      <w:r w:rsidR="00956916" w:rsidRPr="00863F22">
        <w:rPr>
          <w:rFonts w:ascii="Bookman Old Style" w:hAnsi="Bookman Old Style"/>
          <w:sz w:val="20"/>
          <w:szCs w:val="20"/>
        </w:rPr>
        <w:t xml:space="preserve">  </w:t>
      </w:r>
    </w:p>
    <w:p w14:paraId="0C4A7852" w14:textId="136BB145" w:rsidR="00664EAF" w:rsidRPr="00863F22" w:rsidRDefault="00664EAF" w:rsidP="00664EAF">
      <w:pPr>
        <w:numPr>
          <w:ilvl w:val="0"/>
          <w:numId w:val="19"/>
        </w:numPr>
        <w:rPr>
          <w:rFonts w:ascii="Bookman Old Style" w:hAnsi="Bookman Old Style"/>
          <w:sz w:val="20"/>
          <w:szCs w:val="20"/>
        </w:rPr>
      </w:pPr>
      <w:r w:rsidRPr="00863F22">
        <w:rPr>
          <w:rFonts w:ascii="Bookman Old Style" w:hAnsi="Bookman Old Style"/>
          <w:sz w:val="20"/>
          <w:szCs w:val="20"/>
        </w:rPr>
        <w:t xml:space="preserve">The Clerk of the VAB is hereby directed to notify all petitioners to the VAB of the existence and availability of </w:t>
      </w:r>
      <w:r w:rsidR="00184CD5" w:rsidRPr="00863F22">
        <w:rPr>
          <w:rFonts w:ascii="Bookman Old Style" w:hAnsi="Bookman Old Style"/>
          <w:sz w:val="20"/>
          <w:szCs w:val="20"/>
        </w:rPr>
        <w:t>Rule</w:t>
      </w:r>
      <w:r w:rsidR="0053745A" w:rsidRPr="00863F22">
        <w:rPr>
          <w:rFonts w:ascii="Bookman Old Style" w:hAnsi="Bookman Old Style"/>
          <w:sz w:val="20"/>
          <w:szCs w:val="20"/>
        </w:rPr>
        <w:t>s</w:t>
      </w:r>
      <w:r w:rsidR="00184CD5" w:rsidRPr="00863F22">
        <w:rPr>
          <w:rFonts w:ascii="Bookman Old Style" w:hAnsi="Bookman Old Style"/>
          <w:sz w:val="20"/>
          <w:szCs w:val="20"/>
        </w:rPr>
        <w:t xml:space="preserve"> </w:t>
      </w:r>
      <w:hyperlink r:id="rId29" w:history="1">
        <w:r w:rsidR="00184CD5" w:rsidRPr="00863F22">
          <w:rPr>
            <w:rStyle w:val="Hyperlink"/>
            <w:rFonts w:ascii="Bookman Old Style" w:hAnsi="Bookman Old Style"/>
            <w:sz w:val="20"/>
            <w:szCs w:val="20"/>
          </w:rPr>
          <w:t xml:space="preserve">Chapter </w:t>
        </w:r>
        <w:r w:rsidRPr="00863F22">
          <w:rPr>
            <w:rStyle w:val="Hyperlink"/>
            <w:rFonts w:ascii="Bookman Old Style" w:hAnsi="Bookman Old Style"/>
            <w:sz w:val="20"/>
            <w:szCs w:val="20"/>
          </w:rPr>
          <w:t>12D-9</w:t>
        </w:r>
      </w:hyperlink>
      <w:r w:rsidRPr="00863F22">
        <w:rPr>
          <w:rFonts w:ascii="Bookman Old Style" w:hAnsi="Bookman Old Style"/>
          <w:sz w:val="20"/>
          <w:szCs w:val="20"/>
        </w:rPr>
        <w:t xml:space="preserve">, </w:t>
      </w:r>
      <w:hyperlink r:id="rId30" w:history="1">
        <w:r w:rsidR="00184CD5" w:rsidRPr="00863F22">
          <w:rPr>
            <w:rStyle w:val="Hyperlink"/>
            <w:rFonts w:ascii="Bookman Old Style" w:hAnsi="Bookman Old Style"/>
            <w:sz w:val="20"/>
            <w:szCs w:val="20"/>
          </w:rPr>
          <w:t xml:space="preserve">Chapter </w:t>
        </w:r>
        <w:r w:rsidRPr="00863F22">
          <w:rPr>
            <w:rStyle w:val="Hyperlink"/>
            <w:rFonts w:ascii="Bookman Old Style" w:hAnsi="Bookman Old Style"/>
            <w:sz w:val="20"/>
            <w:szCs w:val="20"/>
          </w:rPr>
          <w:t>12D-10</w:t>
        </w:r>
      </w:hyperlink>
      <w:r w:rsidRPr="00863F22">
        <w:rPr>
          <w:rFonts w:ascii="Bookman Old Style" w:hAnsi="Bookman Old Style"/>
          <w:sz w:val="20"/>
          <w:szCs w:val="20"/>
        </w:rPr>
        <w:t xml:space="preserve">, </w:t>
      </w:r>
      <w:r w:rsidR="00184CD5" w:rsidRPr="00863F22">
        <w:rPr>
          <w:rFonts w:ascii="Bookman Old Style" w:hAnsi="Bookman Old Style"/>
          <w:sz w:val="20"/>
          <w:szCs w:val="20"/>
        </w:rPr>
        <w:t xml:space="preserve">and </w:t>
      </w:r>
      <w:hyperlink r:id="rId31" w:history="1">
        <w:r w:rsidRPr="00863F22">
          <w:rPr>
            <w:rStyle w:val="Hyperlink"/>
            <w:rFonts w:ascii="Bookman Old Style" w:hAnsi="Bookman Old Style"/>
            <w:sz w:val="20"/>
            <w:szCs w:val="20"/>
          </w:rPr>
          <w:t xml:space="preserve">12D-51.001, 51.002, 51.003, </w:t>
        </w:r>
        <w:r w:rsidR="00184CD5" w:rsidRPr="00863F22">
          <w:rPr>
            <w:rStyle w:val="Hyperlink"/>
            <w:rFonts w:ascii="Bookman Old Style" w:hAnsi="Bookman Old Style"/>
            <w:sz w:val="20"/>
            <w:szCs w:val="20"/>
          </w:rPr>
          <w:t>F.A.C.</w:t>
        </w:r>
      </w:hyperlink>
      <w:r w:rsidR="00184CD5" w:rsidRPr="00863F22">
        <w:rPr>
          <w:rFonts w:ascii="Bookman Old Style" w:hAnsi="Bookman Old Style"/>
          <w:sz w:val="20"/>
          <w:szCs w:val="20"/>
        </w:rPr>
        <w:t xml:space="preserve">, </w:t>
      </w:r>
      <w:hyperlink r:id="rId32" w:history="1">
        <w:r w:rsidRPr="00863F22">
          <w:rPr>
            <w:rStyle w:val="Hyperlink"/>
            <w:rFonts w:ascii="Bookman Old Style" w:hAnsi="Bookman Old Style"/>
            <w:sz w:val="20"/>
            <w:szCs w:val="20"/>
          </w:rPr>
          <w:t>Chapters 192 through 195, F.S</w:t>
        </w:r>
      </w:hyperlink>
      <w:r w:rsidRPr="00863F22">
        <w:rPr>
          <w:rFonts w:ascii="Bookman Old Style" w:hAnsi="Bookman Old Style"/>
          <w:sz w:val="20"/>
          <w:szCs w:val="20"/>
        </w:rPr>
        <w:t>. and the requirements of Florida's Government in the Sunshine / open government laws.</w:t>
      </w:r>
      <w:r w:rsidR="009C2854">
        <w:rPr>
          <w:rFonts w:ascii="Bookman Old Style" w:hAnsi="Bookman Old Style"/>
          <w:sz w:val="20"/>
          <w:szCs w:val="20"/>
        </w:rPr>
        <w:t xml:space="preserve">  This Resolution, a public record, provides such information to the general public.</w:t>
      </w:r>
    </w:p>
    <w:p w14:paraId="1FF68D53" w14:textId="77777777" w:rsidR="00956916" w:rsidRPr="00863F22" w:rsidRDefault="00956916" w:rsidP="00956916">
      <w:pPr>
        <w:numPr>
          <w:ilvl w:val="0"/>
          <w:numId w:val="19"/>
        </w:numPr>
        <w:rPr>
          <w:rFonts w:ascii="Bookman Old Style" w:hAnsi="Bookman Old Style"/>
          <w:sz w:val="20"/>
          <w:szCs w:val="20"/>
        </w:rPr>
      </w:pPr>
      <w:r w:rsidRPr="00863F22">
        <w:rPr>
          <w:rFonts w:ascii="Bookman Old Style" w:hAnsi="Bookman Old Style"/>
          <w:sz w:val="20"/>
          <w:szCs w:val="20"/>
        </w:rPr>
        <w:t xml:space="preserve">It is the intent of this </w:t>
      </w:r>
      <w:r w:rsidR="00705FFB" w:rsidRPr="00863F22">
        <w:rPr>
          <w:rFonts w:ascii="Bookman Old Style" w:hAnsi="Bookman Old Style"/>
          <w:sz w:val="20"/>
          <w:szCs w:val="20"/>
        </w:rPr>
        <w:t>r</w:t>
      </w:r>
      <w:r w:rsidRPr="00863F22">
        <w:rPr>
          <w:rFonts w:ascii="Bookman Old Style" w:hAnsi="Bookman Old Style"/>
          <w:sz w:val="20"/>
          <w:szCs w:val="20"/>
        </w:rPr>
        <w:t xml:space="preserve">esolution to adopt and incorporate the provisions of </w:t>
      </w:r>
      <w:hyperlink r:id="rId33" w:history="1">
        <w:r w:rsidRPr="00863F22">
          <w:rPr>
            <w:rStyle w:val="Hyperlink"/>
            <w:rFonts w:ascii="Bookman Old Style" w:hAnsi="Bookman Old Style"/>
            <w:sz w:val="20"/>
            <w:szCs w:val="20"/>
          </w:rPr>
          <w:t>Chapter 194,</w:t>
        </w:r>
        <w:r w:rsidR="00184CD5" w:rsidRPr="00863F22">
          <w:rPr>
            <w:rStyle w:val="Hyperlink"/>
            <w:rFonts w:ascii="Bookman Old Style" w:hAnsi="Bookman Old Style"/>
            <w:sz w:val="20"/>
            <w:szCs w:val="20"/>
          </w:rPr>
          <w:t xml:space="preserve"> F.S.</w:t>
        </w:r>
      </w:hyperlink>
      <w:r w:rsidR="00184CD5" w:rsidRPr="00863F22">
        <w:rPr>
          <w:rFonts w:ascii="Bookman Old Style" w:hAnsi="Bookman Old Style"/>
          <w:sz w:val="20"/>
          <w:szCs w:val="20"/>
        </w:rPr>
        <w:t xml:space="preserve">, </w:t>
      </w:r>
      <w:r w:rsidRPr="00863F22">
        <w:rPr>
          <w:rFonts w:ascii="Bookman Old Style" w:hAnsi="Bookman Old Style"/>
          <w:sz w:val="20"/>
          <w:szCs w:val="20"/>
        </w:rPr>
        <w:t>Rule</w:t>
      </w:r>
      <w:r w:rsidR="00184CD5" w:rsidRPr="00863F22">
        <w:rPr>
          <w:rFonts w:ascii="Bookman Old Style" w:hAnsi="Bookman Old Style"/>
          <w:sz w:val="20"/>
          <w:szCs w:val="20"/>
        </w:rPr>
        <w:t>s</w:t>
      </w:r>
      <w:r w:rsidRPr="00863F22">
        <w:rPr>
          <w:rFonts w:ascii="Bookman Old Style" w:hAnsi="Bookman Old Style"/>
          <w:sz w:val="20"/>
          <w:szCs w:val="20"/>
        </w:rPr>
        <w:t xml:space="preserve"> </w:t>
      </w:r>
      <w:hyperlink r:id="rId34" w:history="1">
        <w:r w:rsidR="0053745A" w:rsidRPr="00863F22">
          <w:rPr>
            <w:rStyle w:val="Hyperlink"/>
            <w:rFonts w:ascii="Bookman Old Style" w:hAnsi="Bookman Old Style"/>
            <w:sz w:val="20"/>
            <w:szCs w:val="20"/>
          </w:rPr>
          <w:t xml:space="preserve">Chapter </w:t>
        </w:r>
        <w:r w:rsidRPr="00863F22">
          <w:rPr>
            <w:rStyle w:val="Hyperlink"/>
            <w:rFonts w:ascii="Bookman Old Style" w:hAnsi="Bookman Old Style"/>
            <w:sz w:val="20"/>
            <w:szCs w:val="20"/>
          </w:rPr>
          <w:t>12D-9</w:t>
        </w:r>
      </w:hyperlink>
      <w:r w:rsidRPr="00863F22">
        <w:rPr>
          <w:rFonts w:ascii="Bookman Old Style" w:hAnsi="Bookman Old Style"/>
          <w:sz w:val="20"/>
          <w:szCs w:val="20"/>
        </w:rPr>
        <w:t xml:space="preserve"> and </w:t>
      </w:r>
      <w:hyperlink r:id="rId35" w:history="1">
        <w:r w:rsidRPr="00863F22">
          <w:rPr>
            <w:rStyle w:val="Hyperlink"/>
            <w:rFonts w:ascii="Bookman Old Style" w:hAnsi="Bookman Old Style"/>
            <w:sz w:val="20"/>
            <w:szCs w:val="20"/>
          </w:rPr>
          <w:t>12D-10</w:t>
        </w:r>
      </w:hyperlink>
      <w:r w:rsidRPr="00863F22">
        <w:rPr>
          <w:rFonts w:ascii="Bookman Old Style" w:hAnsi="Bookman Old Style"/>
          <w:sz w:val="20"/>
          <w:szCs w:val="20"/>
        </w:rPr>
        <w:t xml:space="preserve">, </w:t>
      </w:r>
      <w:r w:rsidR="00184CD5" w:rsidRPr="00863F22">
        <w:rPr>
          <w:rFonts w:ascii="Bookman Old Style" w:hAnsi="Bookman Old Style"/>
          <w:sz w:val="20"/>
          <w:szCs w:val="20"/>
        </w:rPr>
        <w:t xml:space="preserve">F.A.C., </w:t>
      </w:r>
      <w:r w:rsidRPr="00863F22">
        <w:rPr>
          <w:rFonts w:ascii="Bookman Old Style" w:hAnsi="Bookman Old Style"/>
          <w:sz w:val="20"/>
          <w:szCs w:val="20"/>
        </w:rPr>
        <w:t>and such provisions are controlling as to any inconsistent provisions hereof.</w:t>
      </w:r>
    </w:p>
    <w:p w14:paraId="50987115" w14:textId="77777777" w:rsidR="00956916" w:rsidRPr="00863F22" w:rsidRDefault="00956916">
      <w:pPr>
        <w:ind w:left="360"/>
        <w:rPr>
          <w:rFonts w:ascii="Bookman Old Style" w:hAnsi="Bookman Old Style"/>
          <w:sz w:val="20"/>
          <w:szCs w:val="20"/>
        </w:rPr>
      </w:pPr>
    </w:p>
    <w:p w14:paraId="03371ADC" w14:textId="2D71DF62" w:rsidR="00956916" w:rsidRPr="00863F22" w:rsidRDefault="00113579">
      <w:pPr>
        <w:rPr>
          <w:rFonts w:ascii="Bookman Old Style" w:hAnsi="Bookman Old Style"/>
          <w:sz w:val="20"/>
          <w:szCs w:val="20"/>
        </w:rPr>
      </w:pPr>
      <w:r>
        <w:rPr>
          <w:rFonts w:ascii="Bookman Old Style" w:hAnsi="Bookman Old Style"/>
          <w:sz w:val="20"/>
          <w:szCs w:val="20"/>
        </w:rPr>
        <w:t xml:space="preserve">DULY ADOPTED this </w:t>
      </w:r>
      <w:r w:rsidR="009C2854">
        <w:rPr>
          <w:rFonts w:ascii="Bookman Old Style" w:hAnsi="Bookman Old Style"/>
          <w:sz w:val="20"/>
          <w:szCs w:val="20"/>
        </w:rPr>
        <w:t>3</w:t>
      </w:r>
      <w:r w:rsidR="003810DA">
        <w:rPr>
          <w:rFonts w:ascii="Bookman Old Style" w:hAnsi="Bookman Old Style"/>
          <w:sz w:val="20"/>
          <w:szCs w:val="20"/>
        </w:rPr>
        <w:t>1ST</w:t>
      </w:r>
      <w:r w:rsidR="008D74F5" w:rsidRPr="00863F22">
        <w:rPr>
          <w:rFonts w:ascii="Bookman Old Style" w:hAnsi="Bookman Old Style"/>
          <w:sz w:val="20"/>
          <w:szCs w:val="20"/>
        </w:rPr>
        <w:t xml:space="preserve"> </w:t>
      </w:r>
      <w:r w:rsidR="00956916" w:rsidRPr="00863F22">
        <w:rPr>
          <w:rFonts w:ascii="Bookman Old Style" w:hAnsi="Bookman Old Style"/>
          <w:sz w:val="20"/>
          <w:szCs w:val="20"/>
        </w:rPr>
        <w:t>day of</w:t>
      </w:r>
      <w:r w:rsidR="004D0FFD" w:rsidRPr="00863F22">
        <w:rPr>
          <w:rFonts w:ascii="Bookman Old Style" w:hAnsi="Bookman Old Style"/>
          <w:sz w:val="20"/>
          <w:szCs w:val="20"/>
        </w:rPr>
        <w:t xml:space="preserve"> </w:t>
      </w:r>
      <w:r w:rsidR="009C2854">
        <w:rPr>
          <w:rFonts w:ascii="Bookman Old Style" w:hAnsi="Bookman Old Style"/>
          <w:sz w:val="20"/>
          <w:szCs w:val="20"/>
        </w:rPr>
        <w:t>August</w:t>
      </w:r>
      <w:r w:rsidR="00956916" w:rsidRPr="00863F22">
        <w:rPr>
          <w:rFonts w:ascii="Bookman Old Style" w:hAnsi="Bookman Old Style"/>
          <w:sz w:val="20"/>
          <w:szCs w:val="20"/>
        </w:rPr>
        <w:t xml:space="preserve"> 20</w:t>
      </w:r>
      <w:r w:rsidR="00FD2F38">
        <w:rPr>
          <w:rFonts w:ascii="Bookman Old Style" w:hAnsi="Bookman Old Style"/>
          <w:sz w:val="20"/>
          <w:szCs w:val="20"/>
        </w:rPr>
        <w:t>2</w:t>
      </w:r>
      <w:r w:rsidR="00F509DE">
        <w:rPr>
          <w:rFonts w:ascii="Bookman Old Style" w:hAnsi="Bookman Old Style"/>
          <w:sz w:val="20"/>
          <w:szCs w:val="20"/>
        </w:rPr>
        <w:t>1</w:t>
      </w:r>
      <w:r w:rsidR="00956916" w:rsidRPr="00863F22">
        <w:rPr>
          <w:rFonts w:ascii="Bookman Old Style" w:hAnsi="Bookman Old Style"/>
          <w:sz w:val="20"/>
          <w:szCs w:val="20"/>
        </w:rPr>
        <w:t>, by the 20</w:t>
      </w:r>
      <w:r w:rsidR="00FD2F38">
        <w:rPr>
          <w:rFonts w:ascii="Bookman Old Style" w:hAnsi="Bookman Old Style"/>
          <w:sz w:val="20"/>
          <w:szCs w:val="20"/>
        </w:rPr>
        <w:t>2</w:t>
      </w:r>
      <w:r w:rsidR="00F509DE">
        <w:rPr>
          <w:rFonts w:ascii="Bookman Old Style" w:hAnsi="Bookman Old Style"/>
          <w:sz w:val="20"/>
          <w:szCs w:val="20"/>
        </w:rPr>
        <w:t>1</w:t>
      </w:r>
      <w:r w:rsidR="00956916" w:rsidRPr="00863F22">
        <w:rPr>
          <w:rFonts w:ascii="Bookman Old Style" w:hAnsi="Bookman Old Style"/>
          <w:sz w:val="20"/>
          <w:szCs w:val="20"/>
        </w:rPr>
        <w:t xml:space="preserve"> </w:t>
      </w:r>
      <w:r w:rsidR="009C2854">
        <w:rPr>
          <w:rFonts w:ascii="Bookman Old Style" w:hAnsi="Bookman Old Style"/>
          <w:sz w:val="20"/>
          <w:szCs w:val="20"/>
        </w:rPr>
        <w:t>Liberty</w:t>
      </w:r>
      <w:r w:rsidR="00956916" w:rsidRPr="00863F22">
        <w:rPr>
          <w:rFonts w:ascii="Bookman Old Style" w:hAnsi="Bookman Old Style"/>
          <w:sz w:val="20"/>
          <w:szCs w:val="20"/>
        </w:rPr>
        <w:t xml:space="preserve"> County Value Adjustment Board. </w:t>
      </w:r>
    </w:p>
    <w:p w14:paraId="740E106F" w14:textId="77777777" w:rsidR="00956916" w:rsidRPr="00863F22" w:rsidRDefault="00956916">
      <w:pPr>
        <w:rPr>
          <w:rFonts w:ascii="Bookman Old Style" w:hAnsi="Bookman Old Style"/>
          <w:sz w:val="20"/>
          <w:szCs w:val="20"/>
        </w:rPr>
      </w:pPr>
    </w:p>
    <w:p w14:paraId="5A995A1A" w14:textId="77777777" w:rsidR="00184CD5" w:rsidRPr="00863F22" w:rsidRDefault="00184CD5" w:rsidP="00184CD5">
      <w:pPr>
        <w:tabs>
          <w:tab w:val="left" w:pos="900"/>
          <w:tab w:val="left" w:pos="3960"/>
          <w:tab w:val="left" w:pos="6030"/>
          <w:tab w:val="left" w:pos="8550"/>
        </w:tabs>
        <w:rPr>
          <w:rFonts w:ascii="Bookman Old Style" w:hAnsi="Bookman Old Style" w:cs="Arial"/>
          <w:b/>
          <w:sz w:val="20"/>
          <w:szCs w:val="20"/>
        </w:rPr>
      </w:pPr>
    </w:p>
    <w:p w14:paraId="482277E1" w14:textId="79F5D86F" w:rsidR="00EC2AC6" w:rsidRPr="00863F22" w:rsidRDefault="00960BD5" w:rsidP="00EC2AC6">
      <w:pPr>
        <w:tabs>
          <w:tab w:val="left" w:pos="5400"/>
        </w:tabs>
        <w:ind w:left="1260" w:hanging="1260"/>
        <w:rPr>
          <w:rFonts w:ascii="Bookman Old Style" w:eastAsia="Calibri" w:hAnsi="Bookman Old Style"/>
          <w:sz w:val="20"/>
          <w:szCs w:val="20"/>
        </w:rPr>
      </w:pPr>
      <w:r>
        <w:rPr>
          <w:rFonts w:ascii="Bookman Old Style" w:hAnsi="Bookman Old Style" w:cs="Arial"/>
          <w:sz w:val="20"/>
          <w:szCs w:val="20"/>
        </w:rPr>
        <w:t>APPROVED AS TO FORM</w:t>
      </w:r>
      <w:r>
        <w:rPr>
          <w:rFonts w:ascii="Bookman Old Style" w:hAnsi="Bookman Old Style" w:cs="Arial"/>
          <w:sz w:val="20"/>
          <w:szCs w:val="20"/>
        </w:rPr>
        <w:tab/>
        <w:t>20</w:t>
      </w:r>
      <w:r w:rsidR="00140D36">
        <w:rPr>
          <w:rFonts w:ascii="Bookman Old Style" w:hAnsi="Bookman Old Style" w:cs="Arial"/>
          <w:sz w:val="20"/>
          <w:szCs w:val="20"/>
        </w:rPr>
        <w:t>2</w:t>
      </w:r>
      <w:r w:rsidR="00F509DE">
        <w:rPr>
          <w:rFonts w:ascii="Bookman Old Style" w:hAnsi="Bookman Old Style" w:cs="Arial"/>
          <w:sz w:val="20"/>
          <w:szCs w:val="20"/>
        </w:rPr>
        <w:t>1</w:t>
      </w:r>
      <w:r w:rsidR="00EC2AC6" w:rsidRPr="00863F22">
        <w:rPr>
          <w:rFonts w:ascii="Bookman Old Style" w:hAnsi="Bookman Old Style" w:cs="Arial"/>
          <w:sz w:val="20"/>
          <w:szCs w:val="20"/>
        </w:rPr>
        <w:t xml:space="preserve"> </w:t>
      </w:r>
      <w:r w:rsidR="009C2854">
        <w:rPr>
          <w:rFonts w:ascii="Bookman Old Style" w:hAnsi="Bookman Old Style" w:cs="Arial"/>
          <w:sz w:val="20"/>
          <w:szCs w:val="20"/>
        </w:rPr>
        <w:t>LIBERTY</w:t>
      </w:r>
      <w:r w:rsidR="00EC2AC6" w:rsidRPr="00863F22">
        <w:rPr>
          <w:rFonts w:ascii="Bookman Old Style" w:hAnsi="Bookman Old Style" w:cs="Arial"/>
          <w:sz w:val="20"/>
          <w:szCs w:val="20"/>
        </w:rPr>
        <w:t xml:space="preserve"> COUNTY</w:t>
      </w:r>
    </w:p>
    <w:p w14:paraId="6D5DC3CF" w14:textId="40470442" w:rsidR="00EC2AC6" w:rsidRPr="00863F22" w:rsidRDefault="000557E5" w:rsidP="00EC2AC6">
      <w:pPr>
        <w:tabs>
          <w:tab w:val="left" w:pos="5400"/>
        </w:tabs>
        <w:ind w:left="1260" w:hanging="1260"/>
        <w:rPr>
          <w:rFonts w:ascii="Bookman Old Style" w:hAnsi="Bookman Old Style" w:cs="Arial"/>
          <w:sz w:val="20"/>
          <w:szCs w:val="20"/>
        </w:rPr>
      </w:pPr>
      <w:r>
        <w:rPr>
          <w:rFonts w:ascii="Bookman Old Style" w:hAnsi="Bookman Old Style" w:cs="Arial"/>
          <w:sz w:val="20"/>
          <w:szCs w:val="20"/>
        </w:rPr>
        <w:t>August 31</w:t>
      </w:r>
      <w:r w:rsidR="00960BD5">
        <w:rPr>
          <w:rFonts w:ascii="Bookman Old Style" w:hAnsi="Bookman Old Style" w:cs="Arial"/>
          <w:sz w:val="20"/>
          <w:szCs w:val="20"/>
        </w:rPr>
        <w:t>, 20</w:t>
      </w:r>
      <w:r w:rsidR="00140D36">
        <w:rPr>
          <w:rFonts w:ascii="Bookman Old Style" w:hAnsi="Bookman Old Style" w:cs="Arial"/>
          <w:sz w:val="20"/>
          <w:szCs w:val="20"/>
        </w:rPr>
        <w:t>2</w:t>
      </w:r>
      <w:r>
        <w:rPr>
          <w:rFonts w:ascii="Bookman Old Style" w:hAnsi="Bookman Old Style" w:cs="Arial"/>
          <w:sz w:val="20"/>
          <w:szCs w:val="20"/>
        </w:rPr>
        <w:t>2</w:t>
      </w:r>
      <w:r w:rsidR="00EC2AC6" w:rsidRPr="00863F22">
        <w:rPr>
          <w:rFonts w:ascii="Bookman Old Style" w:hAnsi="Bookman Old Style" w:cs="Arial"/>
          <w:sz w:val="20"/>
          <w:szCs w:val="20"/>
        </w:rPr>
        <w:tab/>
        <w:t>VALUE ADJUSTMENT BOARD</w:t>
      </w:r>
    </w:p>
    <w:p w14:paraId="412DCA92" w14:textId="77777777" w:rsidR="00863F22" w:rsidRPr="00863F22" w:rsidRDefault="00863F22" w:rsidP="00EC2AC6">
      <w:pPr>
        <w:tabs>
          <w:tab w:val="left" w:pos="5400"/>
        </w:tabs>
        <w:ind w:left="1260" w:hanging="1260"/>
        <w:rPr>
          <w:rFonts w:ascii="Bookman Old Style" w:eastAsia="Calibri" w:hAnsi="Bookman Old Style"/>
          <w:sz w:val="20"/>
          <w:szCs w:val="20"/>
        </w:rPr>
      </w:pPr>
    </w:p>
    <w:p w14:paraId="14C10BF2" w14:textId="77777777" w:rsidR="00EC2AC6" w:rsidRPr="00863F22" w:rsidRDefault="00EC2AC6" w:rsidP="00EC2AC6">
      <w:pPr>
        <w:tabs>
          <w:tab w:val="left" w:pos="900"/>
          <w:tab w:val="left" w:pos="3960"/>
          <w:tab w:val="left" w:pos="5400"/>
          <w:tab w:val="left" w:pos="5760"/>
          <w:tab w:val="left" w:pos="6030"/>
          <w:tab w:val="left" w:pos="8550"/>
        </w:tabs>
        <w:ind w:left="360"/>
        <w:rPr>
          <w:rFonts w:ascii="Bookman Old Style" w:hAnsi="Bookman Old Style" w:cs="Arial"/>
          <w:sz w:val="20"/>
          <w:szCs w:val="20"/>
        </w:rPr>
      </w:pPr>
    </w:p>
    <w:p w14:paraId="4CF412A3" w14:textId="77777777" w:rsidR="00EC2AC6" w:rsidRPr="00863F22" w:rsidRDefault="00EC2AC6" w:rsidP="00EC2AC6">
      <w:pPr>
        <w:tabs>
          <w:tab w:val="left" w:pos="3600"/>
          <w:tab w:val="left" w:pos="5400"/>
          <w:tab w:val="left" w:pos="9000"/>
        </w:tabs>
        <w:ind w:left="540" w:hanging="540"/>
        <w:rPr>
          <w:rFonts w:ascii="Bookman Old Style" w:eastAsia="Calibri" w:hAnsi="Bookman Old Style"/>
          <w:sz w:val="20"/>
          <w:szCs w:val="20"/>
          <w:u w:val="single"/>
        </w:rPr>
      </w:pPr>
      <w:r w:rsidRPr="00863F22">
        <w:rPr>
          <w:rFonts w:ascii="Bookman Old Style" w:hAnsi="Bookman Old Style" w:cs="Arial"/>
          <w:sz w:val="20"/>
          <w:szCs w:val="20"/>
        </w:rPr>
        <w:t>BY:</w:t>
      </w:r>
      <w:r w:rsidRPr="00863F22">
        <w:rPr>
          <w:rFonts w:ascii="Bookman Old Style" w:hAnsi="Bookman Old Style" w:cs="Arial"/>
          <w:sz w:val="20"/>
          <w:szCs w:val="20"/>
        </w:rPr>
        <w:tab/>
      </w:r>
      <w:r w:rsidRPr="00863F22">
        <w:rPr>
          <w:rFonts w:ascii="Bookman Old Style" w:hAnsi="Bookman Old Style" w:cs="Arial"/>
          <w:sz w:val="20"/>
          <w:szCs w:val="20"/>
          <w:u w:val="single"/>
        </w:rPr>
        <w:tab/>
      </w:r>
      <w:r w:rsidRPr="00863F22">
        <w:rPr>
          <w:rFonts w:ascii="Bookman Old Style" w:hAnsi="Bookman Old Style" w:cs="Arial"/>
          <w:sz w:val="20"/>
          <w:szCs w:val="20"/>
        </w:rPr>
        <w:tab/>
        <w:t xml:space="preserve">BY:  </w:t>
      </w:r>
      <w:r w:rsidRPr="00863F22">
        <w:rPr>
          <w:rFonts w:ascii="Bookman Old Style" w:hAnsi="Bookman Old Style" w:cs="Arial"/>
          <w:sz w:val="20"/>
          <w:szCs w:val="20"/>
          <w:u w:val="single"/>
        </w:rPr>
        <w:tab/>
      </w:r>
    </w:p>
    <w:p w14:paraId="4A7BDB3E" w14:textId="77777777" w:rsidR="00EC2AC6" w:rsidRPr="009C2854" w:rsidRDefault="00EC2AC6" w:rsidP="00EC2AC6">
      <w:pPr>
        <w:tabs>
          <w:tab w:val="left" w:pos="5940"/>
        </w:tabs>
        <w:ind w:left="540" w:hanging="540"/>
        <w:rPr>
          <w:rFonts w:ascii="Bookman Old Style" w:eastAsia="Calibri" w:hAnsi="Bookman Old Style"/>
          <w:sz w:val="20"/>
          <w:szCs w:val="20"/>
          <w:lang w:val="fr-FR"/>
        </w:rPr>
      </w:pPr>
      <w:r w:rsidRPr="00863F22">
        <w:rPr>
          <w:rFonts w:ascii="Bookman Old Style" w:hAnsi="Bookman Old Style" w:cs="Arial"/>
          <w:sz w:val="20"/>
          <w:szCs w:val="20"/>
        </w:rPr>
        <w:tab/>
      </w:r>
      <w:r w:rsidRPr="009C2854">
        <w:rPr>
          <w:rFonts w:ascii="Bookman Old Style" w:hAnsi="Bookman Old Style" w:cs="Arial"/>
          <w:sz w:val="20"/>
          <w:szCs w:val="20"/>
          <w:lang w:val="fr-FR"/>
        </w:rPr>
        <w:t>Jon C. Moyle, Esq.</w:t>
      </w:r>
      <w:r w:rsidRPr="009C2854">
        <w:rPr>
          <w:rFonts w:ascii="Bookman Old Style" w:eastAsia="Calibri" w:hAnsi="Bookman Old Style"/>
          <w:sz w:val="20"/>
          <w:szCs w:val="20"/>
          <w:lang w:val="fr-FR"/>
        </w:rPr>
        <w:t xml:space="preserve"> </w:t>
      </w:r>
      <w:r w:rsidRPr="009C2854">
        <w:rPr>
          <w:rFonts w:ascii="Bookman Old Style" w:eastAsia="Calibri" w:hAnsi="Bookman Old Style"/>
          <w:sz w:val="20"/>
          <w:szCs w:val="20"/>
          <w:lang w:val="fr-FR"/>
        </w:rPr>
        <w:tab/>
        <w:t>VAB Chair</w:t>
      </w:r>
    </w:p>
    <w:p w14:paraId="0C96C62C" w14:textId="28D3E95E" w:rsidR="00EC2AC6" w:rsidRPr="00863F22" w:rsidRDefault="00EC2AC6" w:rsidP="00EC2AC6">
      <w:pPr>
        <w:tabs>
          <w:tab w:val="left" w:pos="5940"/>
        </w:tabs>
        <w:ind w:left="540" w:hanging="540"/>
        <w:rPr>
          <w:rFonts w:ascii="Bookman Old Style" w:eastAsia="Calibri" w:hAnsi="Bookman Old Style"/>
          <w:sz w:val="20"/>
          <w:szCs w:val="20"/>
        </w:rPr>
      </w:pPr>
      <w:r w:rsidRPr="009C2854">
        <w:rPr>
          <w:rFonts w:ascii="Bookman Old Style" w:hAnsi="Bookman Old Style" w:cs="Arial"/>
          <w:sz w:val="20"/>
          <w:szCs w:val="20"/>
          <w:lang w:val="fr-FR"/>
        </w:rPr>
        <w:tab/>
      </w:r>
      <w:r w:rsidRPr="00863F22">
        <w:rPr>
          <w:rFonts w:ascii="Bookman Old Style" w:hAnsi="Bookman Old Style" w:cs="Arial"/>
          <w:sz w:val="20"/>
          <w:szCs w:val="20"/>
        </w:rPr>
        <w:t>VAB</w:t>
      </w:r>
      <w:r w:rsidR="00960BD5">
        <w:rPr>
          <w:rFonts w:ascii="Bookman Old Style" w:hAnsi="Bookman Old Style" w:cs="Arial"/>
          <w:sz w:val="20"/>
          <w:szCs w:val="20"/>
        </w:rPr>
        <w:t xml:space="preserve"> LEGAL COUNSEL</w:t>
      </w:r>
      <w:r w:rsidR="00960BD5">
        <w:rPr>
          <w:rFonts w:ascii="Bookman Old Style" w:hAnsi="Bookman Old Style" w:cs="Arial"/>
          <w:sz w:val="20"/>
          <w:szCs w:val="20"/>
        </w:rPr>
        <w:tab/>
      </w:r>
      <w:r w:rsidR="009C2854">
        <w:rPr>
          <w:rFonts w:ascii="Bookman Old Style" w:hAnsi="Bookman Old Style" w:cs="Arial"/>
          <w:sz w:val="20"/>
          <w:szCs w:val="20"/>
        </w:rPr>
        <w:t>AUGUST</w:t>
      </w:r>
      <w:r w:rsidR="00960BD5">
        <w:rPr>
          <w:rFonts w:ascii="Bookman Old Style" w:hAnsi="Bookman Old Style" w:cs="Arial"/>
          <w:sz w:val="20"/>
          <w:szCs w:val="20"/>
        </w:rPr>
        <w:t xml:space="preserve"> </w:t>
      </w:r>
      <w:r w:rsidR="009C2854">
        <w:rPr>
          <w:rFonts w:ascii="Bookman Old Style" w:hAnsi="Bookman Old Style" w:cs="Arial"/>
          <w:sz w:val="20"/>
          <w:szCs w:val="20"/>
        </w:rPr>
        <w:t>3</w:t>
      </w:r>
      <w:r w:rsidR="003810DA">
        <w:rPr>
          <w:rFonts w:ascii="Bookman Old Style" w:hAnsi="Bookman Old Style" w:cs="Arial"/>
          <w:sz w:val="20"/>
          <w:szCs w:val="20"/>
        </w:rPr>
        <w:t>1</w:t>
      </w:r>
      <w:r w:rsidR="00960BD5">
        <w:rPr>
          <w:rFonts w:ascii="Bookman Old Style" w:hAnsi="Bookman Old Style" w:cs="Arial"/>
          <w:sz w:val="20"/>
          <w:szCs w:val="20"/>
        </w:rPr>
        <w:t>, 20</w:t>
      </w:r>
      <w:r w:rsidR="00140D36">
        <w:rPr>
          <w:rFonts w:ascii="Bookman Old Style" w:hAnsi="Bookman Old Style" w:cs="Arial"/>
          <w:sz w:val="20"/>
          <w:szCs w:val="20"/>
        </w:rPr>
        <w:t>2</w:t>
      </w:r>
      <w:r w:rsidR="000557E5">
        <w:rPr>
          <w:rFonts w:ascii="Bookman Old Style" w:hAnsi="Bookman Old Style" w:cs="Arial"/>
          <w:sz w:val="20"/>
          <w:szCs w:val="20"/>
        </w:rPr>
        <w:t>2</w:t>
      </w:r>
    </w:p>
    <w:p w14:paraId="0F3D4800" w14:textId="77777777" w:rsidR="00EC2AC6" w:rsidRPr="00863F22" w:rsidRDefault="00EC2AC6" w:rsidP="00EC2AC6">
      <w:pPr>
        <w:pStyle w:val="BodyTextIndent"/>
        <w:tabs>
          <w:tab w:val="left" w:pos="5040"/>
        </w:tabs>
        <w:spacing w:after="0"/>
        <w:jc w:val="left"/>
        <w:rPr>
          <w:rFonts w:ascii="Bookman Old Style" w:hAnsi="Bookman Old Style" w:cs="Arial"/>
          <w:sz w:val="20"/>
          <w:szCs w:val="20"/>
        </w:rPr>
      </w:pPr>
    </w:p>
    <w:p w14:paraId="3CFFDC73" w14:textId="77777777" w:rsidR="00EC2AC6" w:rsidRPr="00863F22" w:rsidRDefault="00EC2AC6" w:rsidP="00EC2AC6">
      <w:pPr>
        <w:tabs>
          <w:tab w:val="center" w:pos="4680"/>
          <w:tab w:val="right" w:pos="9360"/>
        </w:tabs>
        <w:ind w:left="2160" w:hanging="1080"/>
        <w:rPr>
          <w:rFonts w:ascii="Bookman Old Style" w:eastAsia="Calibri" w:hAnsi="Bookman Old Style"/>
          <w:sz w:val="20"/>
          <w:szCs w:val="20"/>
        </w:rPr>
      </w:pPr>
    </w:p>
    <w:p w14:paraId="3EB90750" w14:textId="77777777" w:rsidR="00EC2AC6" w:rsidRPr="00863F22" w:rsidRDefault="00EC2AC6" w:rsidP="00EC2AC6">
      <w:pPr>
        <w:tabs>
          <w:tab w:val="left" w:pos="4680"/>
        </w:tabs>
        <w:ind w:left="1260" w:hanging="1260"/>
        <w:rPr>
          <w:rFonts w:ascii="Bookman Old Style" w:eastAsia="Calibri" w:hAnsi="Bookman Old Style"/>
          <w:sz w:val="20"/>
          <w:szCs w:val="20"/>
        </w:rPr>
      </w:pPr>
      <w:r w:rsidRPr="00863F22">
        <w:rPr>
          <w:rFonts w:ascii="Bookman Old Style" w:eastAsia="Calibri" w:hAnsi="Bookman Old Style"/>
          <w:b/>
          <w:sz w:val="20"/>
          <w:szCs w:val="20"/>
        </w:rPr>
        <w:t>ATTEST:</w:t>
      </w:r>
    </w:p>
    <w:p w14:paraId="5B5A523D" w14:textId="4176031A" w:rsidR="00EC2AC6" w:rsidRPr="00863F22" w:rsidRDefault="009C2854" w:rsidP="00EC2AC6">
      <w:pPr>
        <w:tabs>
          <w:tab w:val="left" w:pos="4680"/>
        </w:tabs>
        <w:ind w:left="1260" w:hanging="1260"/>
        <w:rPr>
          <w:rFonts w:ascii="Bookman Old Style" w:eastAsia="Calibri" w:hAnsi="Bookman Old Style"/>
          <w:sz w:val="20"/>
          <w:szCs w:val="20"/>
        </w:rPr>
      </w:pPr>
      <w:r>
        <w:rPr>
          <w:rFonts w:ascii="Bookman Old Style" w:eastAsia="Arial" w:hAnsi="Bookman Old Style" w:cs="Arial"/>
          <w:sz w:val="20"/>
          <w:szCs w:val="20"/>
        </w:rPr>
        <w:t>Daniel Stanley</w:t>
      </w:r>
      <w:r w:rsidR="00EC2AC6" w:rsidRPr="00863F22">
        <w:rPr>
          <w:rFonts w:ascii="Bookman Old Style" w:eastAsia="Arial" w:hAnsi="Bookman Old Style" w:cs="Arial"/>
          <w:sz w:val="20"/>
          <w:szCs w:val="20"/>
        </w:rPr>
        <w:t xml:space="preserve">, Clerk of the Circuit Court </w:t>
      </w:r>
    </w:p>
    <w:p w14:paraId="3311E79F" w14:textId="74E0180E" w:rsidR="00EC2AC6" w:rsidRPr="00863F22" w:rsidRDefault="009C2854" w:rsidP="00EC2AC6">
      <w:pPr>
        <w:tabs>
          <w:tab w:val="left" w:pos="4680"/>
        </w:tabs>
        <w:ind w:left="1260" w:hanging="1260"/>
        <w:rPr>
          <w:rFonts w:ascii="Bookman Old Style" w:eastAsia="Calibri" w:hAnsi="Bookman Old Style"/>
          <w:sz w:val="20"/>
          <w:szCs w:val="20"/>
        </w:rPr>
      </w:pPr>
      <w:r>
        <w:rPr>
          <w:rFonts w:ascii="Bookman Old Style" w:eastAsia="Arial" w:hAnsi="Bookman Old Style" w:cs="Arial"/>
          <w:sz w:val="20"/>
          <w:szCs w:val="20"/>
        </w:rPr>
        <w:t>Liberty</w:t>
      </w:r>
      <w:r w:rsidR="00EC2AC6" w:rsidRPr="00863F22">
        <w:rPr>
          <w:rFonts w:ascii="Bookman Old Style" w:eastAsia="Arial" w:hAnsi="Bookman Old Style" w:cs="Arial"/>
          <w:sz w:val="20"/>
          <w:szCs w:val="20"/>
        </w:rPr>
        <w:t xml:space="preserve"> County</w:t>
      </w:r>
    </w:p>
    <w:p w14:paraId="50EF8318" w14:textId="47CBEE66" w:rsidR="00EC2AC6" w:rsidRPr="00863F22" w:rsidRDefault="009C2854" w:rsidP="00EC2AC6">
      <w:pPr>
        <w:tabs>
          <w:tab w:val="left" w:pos="360"/>
          <w:tab w:val="left" w:pos="4680"/>
        </w:tabs>
        <w:rPr>
          <w:rFonts w:ascii="Bookman Old Style" w:eastAsia="Arial" w:hAnsi="Bookman Old Style" w:cs="Arial"/>
          <w:sz w:val="20"/>
          <w:szCs w:val="20"/>
        </w:rPr>
      </w:pPr>
      <w:r>
        <w:rPr>
          <w:rFonts w:ascii="Bookman Old Style" w:eastAsia="Arial" w:hAnsi="Bookman Old Style" w:cs="Arial"/>
          <w:sz w:val="20"/>
          <w:szCs w:val="20"/>
        </w:rPr>
        <w:t>August 31</w:t>
      </w:r>
      <w:r w:rsidR="00960BD5">
        <w:rPr>
          <w:rFonts w:ascii="Bookman Old Style" w:eastAsia="Arial" w:hAnsi="Bookman Old Style" w:cs="Arial"/>
          <w:sz w:val="20"/>
          <w:szCs w:val="20"/>
        </w:rPr>
        <w:t>, 20</w:t>
      </w:r>
      <w:r w:rsidR="00140D36">
        <w:rPr>
          <w:rFonts w:ascii="Bookman Old Style" w:eastAsia="Arial" w:hAnsi="Bookman Old Style" w:cs="Arial"/>
          <w:sz w:val="20"/>
          <w:szCs w:val="20"/>
        </w:rPr>
        <w:t>2</w:t>
      </w:r>
      <w:r w:rsidR="000557E5">
        <w:rPr>
          <w:rFonts w:ascii="Bookman Old Style" w:eastAsia="Arial" w:hAnsi="Bookman Old Style" w:cs="Arial"/>
          <w:sz w:val="20"/>
          <w:szCs w:val="20"/>
        </w:rPr>
        <w:t>2</w:t>
      </w:r>
    </w:p>
    <w:p w14:paraId="0F8522BD" w14:textId="77777777" w:rsidR="00EC2AC6" w:rsidRPr="00863F22" w:rsidRDefault="00EC2AC6" w:rsidP="00EC2AC6">
      <w:pPr>
        <w:tabs>
          <w:tab w:val="left" w:pos="360"/>
          <w:tab w:val="left" w:pos="4680"/>
        </w:tabs>
        <w:rPr>
          <w:rFonts w:ascii="Bookman Old Style" w:eastAsia="Arial" w:hAnsi="Bookman Old Style" w:cs="Arial"/>
          <w:sz w:val="20"/>
          <w:szCs w:val="20"/>
        </w:rPr>
      </w:pPr>
    </w:p>
    <w:p w14:paraId="0192592C" w14:textId="77777777" w:rsidR="00EC2AC6" w:rsidRPr="00863F22" w:rsidRDefault="00EC2AC6" w:rsidP="00EC2AC6">
      <w:pPr>
        <w:tabs>
          <w:tab w:val="left" w:pos="360"/>
          <w:tab w:val="left" w:pos="4680"/>
        </w:tabs>
        <w:rPr>
          <w:rFonts w:ascii="Bookman Old Style" w:eastAsia="Arial" w:hAnsi="Bookman Old Style" w:cs="Arial"/>
          <w:sz w:val="20"/>
          <w:szCs w:val="20"/>
        </w:rPr>
      </w:pPr>
      <w:r w:rsidRPr="00863F22">
        <w:rPr>
          <w:rFonts w:ascii="Bookman Old Style" w:eastAsia="Arial" w:hAnsi="Bookman Old Style" w:cs="Arial"/>
          <w:sz w:val="20"/>
          <w:szCs w:val="20"/>
        </w:rPr>
        <w:t>BY:  ________________________________</w:t>
      </w:r>
    </w:p>
    <w:p w14:paraId="7C446785" w14:textId="49D69E92" w:rsidR="00EC2AC6" w:rsidRPr="00863F22" w:rsidRDefault="00113579" w:rsidP="00EC2AC6">
      <w:pPr>
        <w:tabs>
          <w:tab w:val="left" w:pos="360"/>
          <w:tab w:val="left" w:pos="4680"/>
        </w:tabs>
        <w:rPr>
          <w:rFonts w:ascii="Bookman Old Style" w:eastAsia="Arial" w:hAnsi="Bookman Old Style" w:cs="Arial"/>
          <w:sz w:val="20"/>
          <w:szCs w:val="20"/>
        </w:rPr>
      </w:pPr>
      <w:r>
        <w:rPr>
          <w:rFonts w:ascii="Bookman Old Style" w:eastAsia="Arial" w:hAnsi="Bookman Old Style" w:cs="Arial"/>
          <w:sz w:val="20"/>
          <w:szCs w:val="20"/>
        </w:rPr>
        <w:t xml:space="preserve">       </w:t>
      </w:r>
      <w:r w:rsidR="009C2854">
        <w:rPr>
          <w:rFonts w:ascii="Bookman Old Style" w:eastAsia="Arial" w:hAnsi="Bookman Old Style" w:cs="Arial"/>
          <w:sz w:val="20"/>
          <w:szCs w:val="20"/>
        </w:rPr>
        <w:t xml:space="preserve">Clerk or </w:t>
      </w:r>
      <w:r w:rsidR="00EC2AC6" w:rsidRPr="00863F22">
        <w:rPr>
          <w:rFonts w:ascii="Bookman Old Style" w:eastAsia="Arial" w:hAnsi="Bookman Old Style" w:cs="Arial"/>
          <w:sz w:val="20"/>
          <w:szCs w:val="20"/>
        </w:rPr>
        <w:t>Deputy Clerk</w:t>
      </w:r>
    </w:p>
    <w:p w14:paraId="67445CE3" w14:textId="77777777" w:rsidR="00184CD5" w:rsidRPr="00184CD5" w:rsidRDefault="00184CD5">
      <w:pPr>
        <w:rPr>
          <w:rFonts w:ascii="Bookman Old Style" w:hAnsi="Bookman Old Style"/>
          <w:sz w:val="18"/>
          <w:szCs w:val="19"/>
        </w:rPr>
      </w:pPr>
    </w:p>
    <w:sectPr w:rsidR="00184CD5" w:rsidRPr="00184CD5" w:rsidSect="009D6C5E">
      <w:footerReference w:type="default" r:id="rId36"/>
      <w:pgSz w:w="12240" w:h="15840"/>
      <w:pgMar w:top="1440" w:right="1440" w:bottom="864"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CB9A" w14:textId="77777777" w:rsidR="00D44ADC" w:rsidRDefault="00D44ADC" w:rsidP="004A57FD">
      <w:r>
        <w:separator/>
      </w:r>
    </w:p>
  </w:endnote>
  <w:endnote w:type="continuationSeparator" w:id="0">
    <w:p w14:paraId="7258D357" w14:textId="77777777" w:rsidR="00D44ADC" w:rsidRDefault="00D44ADC" w:rsidP="004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3246"/>
      <w:docPartObj>
        <w:docPartGallery w:val="Page Numbers (Bottom of Page)"/>
        <w:docPartUnique/>
      </w:docPartObj>
    </w:sdtPr>
    <w:sdtEndPr>
      <w:rPr>
        <w:noProof/>
      </w:rPr>
    </w:sdtEndPr>
    <w:sdtContent>
      <w:p w14:paraId="4807E06F" w14:textId="5466C16E" w:rsidR="009C2854" w:rsidRDefault="009C2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7C7FF8" w14:textId="44E2B35D" w:rsidR="009D6C5E" w:rsidRDefault="009D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69AC" w14:textId="77777777" w:rsidR="00D44ADC" w:rsidRDefault="00D44ADC" w:rsidP="004A57FD">
      <w:r>
        <w:separator/>
      </w:r>
    </w:p>
  </w:footnote>
  <w:footnote w:type="continuationSeparator" w:id="0">
    <w:p w14:paraId="53911307" w14:textId="77777777" w:rsidR="00D44ADC" w:rsidRDefault="00D44ADC" w:rsidP="004A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DC25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4C90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805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14B9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1416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61A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8C72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36A5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26A006A8"/>
    <w:multiLevelType w:val="multilevel"/>
    <w:tmpl w:val="97DE87A6"/>
    <w:styleLink w:val="List1"/>
    <w:lvl w:ilvl="0">
      <w:start w:val="1"/>
      <w:numFmt w:val="lowerLetter"/>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2B4403D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2" w15:restartNumberingAfterBreak="0">
    <w:nsid w:val="667C5F62"/>
    <w:multiLevelType w:val="multilevel"/>
    <w:tmpl w:val="58B0AFE2"/>
    <w:lvl w:ilvl="0">
      <w:start w:val="1"/>
      <w:numFmt w:val="upperRoman"/>
      <w:pStyle w:val="SMTMinutesGuide"/>
      <w:lvlText w:val="%1."/>
      <w:lvlJc w:val="right"/>
      <w:pPr>
        <w:tabs>
          <w:tab w:val="num" w:pos="0"/>
        </w:tabs>
        <w:ind w:left="720" w:hanging="360"/>
      </w:pPr>
      <w:rPr>
        <w:rFonts w:hint="default"/>
      </w:rPr>
    </w:lvl>
    <w:lvl w:ilvl="1">
      <w:start w:val="1"/>
      <w:numFmt w:val="upperLetter"/>
      <w:lvlText w:val="%2."/>
      <w:lvlJc w:val="left"/>
      <w:pPr>
        <w:tabs>
          <w:tab w:val="num" w:pos="360"/>
        </w:tabs>
        <w:ind w:left="1080" w:hanging="360"/>
      </w:pPr>
      <w:rPr>
        <w:rFonts w:hint="default"/>
        <w:b w:val="0"/>
        <w:i w:val="0"/>
      </w:rPr>
    </w:lvl>
    <w:lvl w:ilvl="2">
      <w:start w:val="1"/>
      <w:numFmt w:val="decimal"/>
      <w:lvlText w:val="%3."/>
      <w:lvlJc w:val="right"/>
      <w:pPr>
        <w:tabs>
          <w:tab w:val="num" w:pos="720"/>
        </w:tabs>
        <w:ind w:left="1440" w:hanging="144"/>
      </w:pPr>
      <w:rPr>
        <w:rFonts w:hint="default"/>
        <w:b w:val="0"/>
        <w:i w:val="0"/>
      </w:rPr>
    </w:lvl>
    <w:lvl w:ilvl="3">
      <w:start w:val="1"/>
      <w:numFmt w:val="lowerLetter"/>
      <w:lvlText w:val="(%4)"/>
      <w:lvlJc w:val="left"/>
      <w:pPr>
        <w:tabs>
          <w:tab w:val="num" w:pos="1080"/>
        </w:tabs>
        <w:ind w:left="2160" w:hanging="720"/>
      </w:pPr>
      <w:rPr>
        <w:rFonts w:ascii="Courier New" w:hAnsi="Courier New" w:hint="default"/>
        <w:b w:val="0"/>
        <w:i w:val="0"/>
        <w:sz w:val="22"/>
        <w:szCs w:val="22"/>
      </w:rPr>
    </w:lvl>
    <w:lvl w:ilvl="4">
      <w:start w:val="1"/>
      <w:numFmt w:val="decimal"/>
      <w:lvlText w:val="(%5)"/>
      <w:lvlJc w:val="left"/>
      <w:pPr>
        <w:tabs>
          <w:tab w:val="num" w:pos="2736"/>
        </w:tabs>
        <w:ind w:left="2736" w:hanging="576"/>
      </w:pPr>
      <w:rPr>
        <w:rFonts w:hint="default"/>
        <w:b w:val="0"/>
        <w:i w:val="0"/>
      </w:rPr>
    </w:lvl>
    <w:lvl w:ilvl="5">
      <w:start w:val="1"/>
      <w:numFmt w:val="lowerRoman"/>
      <w:lvlText w:val="%6."/>
      <w:lvlJc w:val="right"/>
      <w:pPr>
        <w:tabs>
          <w:tab w:val="num" w:pos="3240"/>
        </w:tabs>
        <w:ind w:left="3240" w:hanging="360"/>
      </w:pPr>
      <w:rPr>
        <w:rFonts w:hint="default"/>
      </w:rPr>
    </w:lvl>
    <w:lvl w:ilvl="6">
      <w:start w:val="1"/>
      <w:numFmt w:val="lowerRoman"/>
      <w:lvlText w:val="(%7)"/>
      <w:lvlJc w:val="left"/>
      <w:pPr>
        <w:tabs>
          <w:tab w:val="num" w:pos="3600"/>
        </w:tabs>
        <w:ind w:left="3600" w:hanging="36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13" w15:restartNumberingAfterBreak="0">
    <w:nsid w:val="6E557BD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778F6D31"/>
    <w:multiLevelType w:val="multilevel"/>
    <w:tmpl w:val="95789314"/>
    <w:lvl w:ilvl="0">
      <w:start w:val="1"/>
      <w:numFmt w:val="lowerLetter"/>
      <w:pStyle w:val="List"/>
      <w:lvlText w:val="(%1)"/>
      <w:lvlJc w:val="left"/>
      <w:pPr>
        <w:tabs>
          <w:tab w:val="num" w:pos="1080"/>
        </w:tabs>
        <w:ind w:left="1080" w:hanging="36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79724F6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E6944B7"/>
    <w:multiLevelType w:val="hybridMultilevel"/>
    <w:tmpl w:val="CE1C8F60"/>
    <w:lvl w:ilvl="0" w:tplc="1A2ECA4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3587474">
    <w:abstractNumId w:val="15"/>
  </w:num>
  <w:num w:numId="2" w16cid:durableId="833028289">
    <w:abstractNumId w:val="10"/>
  </w:num>
  <w:num w:numId="3" w16cid:durableId="736440495">
    <w:abstractNumId w:val="13"/>
  </w:num>
  <w:num w:numId="4" w16cid:durableId="2028754830">
    <w:abstractNumId w:val="13"/>
  </w:num>
  <w:num w:numId="5" w16cid:durableId="85156307">
    <w:abstractNumId w:val="7"/>
  </w:num>
  <w:num w:numId="6" w16cid:durableId="1771660745">
    <w:abstractNumId w:val="6"/>
  </w:num>
  <w:num w:numId="7" w16cid:durableId="459763351">
    <w:abstractNumId w:val="5"/>
  </w:num>
  <w:num w:numId="8" w16cid:durableId="1123111060">
    <w:abstractNumId w:val="4"/>
  </w:num>
  <w:num w:numId="9" w16cid:durableId="991642637">
    <w:abstractNumId w:val="3"/>
  </w:num>
  <w:num w:numId="10" w16cid:durableId="396127840">
    <w:abstractNumId w:val="2"/>
  </w:num>
  <w:num w:numId="11" w16cid:durableId="561715337">
    <w:abstractNumId w:val="1"/>
  </w:num>
  <w:num w:numId="12" w16cid:durableId="849637624">
    <w:abstractNumId w:val="0"/>
  </w:num>
  <w:num w:numId="13" w16cid:durableId="822236004">
    <w:abstractNumId w:val="9"/>
  </w:num>
  <w:num w:numId="14" w16cid:durableId="380446587">
    <w:abstractNumId w:val="11"/>
  </w:num>
  <w:num w:numId="15" w16cid:durableId="781611906">
    <w:abstractNumId w:val="12"/>
  </w:num>
  <w:num w:numId="16" w16cid:durableId="2070152953">
    <w:abstractNumId w:val="8"/>
  </w:num>
  <w:num w:numId="17" w16cid:durableId="1620186215">
    <w:abstractNumId w:val="8"/>
  </w:num>
  <w:num w:numId="18" w16cid:durableId="2044015612">
    <w:abstractNumId w:val="14"/>
  </w:num>
  <w:num w:numId="19" w16cid:durableId="102860067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74"/>
    <w:rsid w:val="000557E5"/>
    <w:rsid w:val="00067115"/>
    <w:rsid w:val="00081D74"/>
    <w:rsid w:val="000A3D04"/>
    <w:rsid w:val="000E6CF5"/>
    <w:rsid w:val="000F7F7A"/>
    <w:rsid w:val="00113579"/>
    <w:rsid w:val="00132397"/>
    <w:rsid w:val="00140D36"/>
    <w:rsid w:val="00184CD5"/>
    <w:rsid w:val="001F0157"/>
    <w:rsid w:val="002648FD"/>
    <w:rsid w:val="002B548C"/>
    <w:rsid w:val="00333DB1"/>
    <w:rsid w:val="00376C2C"/>
    <w:rsid w:val="003810DA"/>
    <w:rsid w:val="00390B91"/>
    <w:rsid w:val="003F3AE6"/>
    <w:rsid w:val="00481D25"/>
    <w:rsid w:val="004A57FD"/>
    <w:rsid w:val="004D0FFD"/>
    <w:rsid w:val="004D40F6"/>
    <w:rsid w:val="004D7206"/>
    <w:rsid w:val="004F30BB"/>
    <w:rsid w:val="00524896"/>
    <w:rsid w:val="0053745A"/>
    <w:rsid w:val="005B184E"/>
    <w:rsid w:val="005C3A49"/>
    <w:rsid w:val="00622547"/>
    <w:rsid w:val="00664EAF"/>
    <w:rsid w:val="006C68EC"/>
    <w:rsid w:val="006D2D86"/>
    <w:rsid w:val="00705FFB"/>
    <w:rsid w:val="007E0D3D"/>
    <w:rsid w:val="007E33C2"/>
    <w:rsid w:val="0080129E"/>
    <w:rsid w:val="008225CD"/>
    <w:rsid w:val="008241E7"/>
    <w:rsid w:val="00825111"/>
    <w:rsid w:val="00863F22"/>
    <w:rsid w:val="00887A0A"/>
    <w:rsid w:val="008D74F5"/>
    <w:rsid w:val="0094125B"/>
    <w:rsid w:val="00956916"/>
    <w:rsid w:val="00960BD5"/>
    <w:rsid w:val="009C2854"/>
    <w:rsid w:val="009D6C5E"/>
    <w:rsid w:val="00A44528"/>
    <w:rsid w:val="00A77F0A"/>
    <w:rsid w:val="00B14634"/>
    <w:rsid w:val="00B25072"/>
    <w:rsid w:val="00BB3408"/>
    <w:rsid w:val="00C757B4"/>
    <w:rsid w:val="00C82BF8"/>
    <w:rsid w:val="00CC0011"/>
    <w:rsid w:val="00CE25B6"/>
    <w:rsid w:val="00D30D45"/>
    <w:rsid w:val="00D44ADC"/>
    <w:rsid w:val="00D617A7"/>
    <w:rsid w:val="00D722F1"/>
    <w:rsid w:val="00DC5EDF"/>
    <w:rsid w:val="00DF3A1B"/>
    <w:rsid w:val="00E365EB"/>
    <w:rsid w:val="00E5454E"/>
    <w:rsid w:val="00E71D37"/>
    <w:rsid w:val="00EC2AC6"/>
    <w:rsid w:val="00F509DE"/>
    <w:rsid w:val="00F531FA"/>
    <w:rsid w:val="00F7232E"/>
    <w:rsid w:val="00FA186B"/>
    <w:rsid w:val="00FC7D83"/>
    <w:rsid w:val="00FD2F38"/>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C03E7"/>
  <w15:docId w15:val="{96D7B2F1-70BD-4C6A-91B4-0A30EFB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Verdana" w:hAnsi="Verdana"/>
      <w:spacing w:val="-5"/>
      <w:sz w:val="22"/>
      <w:szCs w:val="22"/>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semiHidden/>
    <w:pPr>
      <w:numPr>
        <w:numId w:val="14"/>
      </w:numPr>
    </w:pPr>
  </w:style>
  <w:style w:type="paragraph" w:styleId="List">
    <w:name w:val="List"/>
    <w:basedOn w:val="Normal"/>
    <w:autoRedefine/>
    <w:pPr>
      <w:numPr>
        <w:numId w:val="18"/>
      </w:numPr>
      <w:jc w:val="left"/>
    </w:pPr>
    <w:rPr>
      <w:rFonts w:ascii="Arial" w:hAnsi="Arial"/>
      <w:spacing w:val="0"/>
      <w:sz w:val="20"/>
      <w:szCs w:val="24"/>
    </w:rPr>
  </w:style>
  <w:style w:type="paragraph" w:customStyle="1" w:styleId="StyleBodyText9pt">
    <w:name w:val="Style Body Text + 9 pt"/>
    <w:basedOn w:val="BodyText"/>
    <w:autoRedefine/>
    <w:rPr>
      <w:sz w:val="18"/>
    </w:rPr>
  </w:style>
  <w:style w:type="paragraph" w:customStyle="1" w:styleId="AttentionLine">
    <w:name w:val="Attention Line"/>
    <w:basedOn w:val="Normal"/>
    <w:next w:val="Salutation"/>
    <w:semiHidde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autoRedefine/>
    <w:pPr>
      <w:spacing w:after="240"/>
      <w:jc w:val="left"/>
    </w:pPr>
    <w:rPr>
      <w:spacing w:val="0"/>
      <w:szCs w:val="24"/>
    </w:rPr>
  </w:style>
  <w:style w:type="paragraph" w:customStyle="1" w:styleId="CcList">
    <w:name w:val="Cc List"/>
    <w:basedOn w:val="Normal"/>
    <w:semiHidden/>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semiHidden/>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semiHidden/>
    <w:pPr>
      <w:keepNext/>
      <w:keepLines/>
      <w:spacing w:after="220" w:line="220" w:lineRule="atLeast"/>
    </w:pPr>
  </w:style>
  <w:style w:type="paragraph" w:styleId="EnvelopeAddress">
    <w:name w:val="envelope address"/>
    <w:basedOn w:val="Normal"/>
    <w:semiHidden/>
    <w:pPr>
      <w:framePr w:w="7920" w:h="1980" w:hRule="exact" w:hSpace="180" w:wrap="auto" w:hAnchor="page" w:xAlign="center" w:yAlign="bottom"/>
      <w:ind w:left="2880"/>
      <w:jc w:val="left"/>
    </w:pPr>
    <w:rPr>
      <w:rFonts w:cs="Arial"/>
      <w:sz w:val="24"/>
      <w:szCs w:val="24"/>
    </w:rPr>
  </w:style>
  <w:style w:type="paragraph" w:styleId="EnvelopeReturn">
    <w:name w:val="envelope return"/>
    <w:basedOn w:val="Normal"/>
    <w:semiHidden/>
    <w:pPr>
      <w:jc w:val="left"/>
    </w:pPr>
    <w:rPr>
      <w:rFonts w:cs="Arial"/>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HeadingBase">
    <w:name w:val="Heading Base"/>
    <w:basedOn w:val="Normal"/>
    <w:next w:val="BodyText"/>
    <w:semiHidden/>
    <w:pPr>
      <w:keepNext/>
      <w:keepLines/>
      <w:spacing w:line="220" w:lineRule="atLeast"/>
    </w:pPr>
    <w:rPr>
      <w:rFonts w:ascii="Arial Black" w:hAnsi="Arial Black"/>
      <w:spacing w:val="-10"/>
      <w:kern w:val="20"/>
    </w:rPr>
  </w:style>
  <w:style w:type="character" w:styleId="Hyperlink">
    <w:name w:val="Hyperlink"/>
    <w:semiHidden/>
    <w:rPr>
      <w:color w:val="0000FF"/>
      <w:u w:val="single"/>
    </w:rPr>
  </w:style>
  <w:style w:type="paragraph" w:customStyle="1" w:styleId="InsideAddress">
    <w:name w:val="Inside Address"/>
    <w:basedOn w:val="Normal"/>
    <w:semiHidden/>
    <w:pPr>
      <w:spacing w:line="220" w:lineRule="atLeast"/>
    </w:pPr>
  </w:style>
  <w:style w:type="paragraph" w:customStyle="1" w:styleId="InsideAddressName">
    <w:name w:val="Inside Address Name"/>
    <w:basedOn w:val="InsideAddress"/>
    <w:next w:val="InsideAddress"/>
    <w:semiHidden/>
    <w:pPr>
      <w:spacing w:before="220"/>
    </w:pPr>
  </w:style>
  <w:style w:type="paragraph" w:customStyle="1" w:styleId="Lastprinted">
    <w:name w:val="Last printed"/>
    <w:semiHidden/>
    <w:rPr>
      <w:sz w:val="24"/>
      <w:szCs w:val="24"/>
    </w:rPr>
  </w:style>
  <w:style w:type="paragraph" w:styleId="ListBullet">
    <w:name w:val="List Bullet"/>
    <w:basedOn w:val="List"/>
    <w:autoRedefine/>
    <w:semiHidden/>
    <w:pPr>
      <w:numPr>
        <w:numId w:val="13"/>
      </w:numPr>
    </w:pPr>
  </w:style>
  <w:style w:type="paragraph" w:customStyle="1" w:styleId="MailingInstructions">
    <w:name w:val="Mailing Instructions"/>
    <w:basedOn w:val="Normal"/>
    <w:next w:val="InsideAddressName"/>
    <w:semiHidden/>
    <w:pPr>
      <w:spacing w:after="220" w:line="220" w:lineRule="atLeast"/>
    </w:pPr>
    <w:rPr>
      <w:caps/>
    </w:rPr>
  </w:style>
  <w:style w:type="paragraph" w:customStyle="1" w:styleId="ReferenceInitials">
    <w:name w:val="Reference Initials"/>
    <w:basedOn w:val="Normal"/>
    <w:next w:val="Enclosure"/>
    <w:semiHidden/>
    <w:pPr>
      <w:keepNext/>
      <w:keepLines/>
      <w:spacing w:before="220" w:line="220" w:lineRule="atLeast"/>
    </w:pPr>
  </w:style>
  <w:style w:type="paragraph" w:customStyle="1" w:styleId="ReferenceLine">
    <w:name w:val="Reference Line"/>
    <w:basedOn w:val="Normal"/>
    <w:next w:val="MailingInstructions"/>
    <w:semiHidden/>
    <w:pPr>
      <w:spacing w:after="220" w:line="220" w:lineRule="atLeast"/>
      <w:jc w:val="left"/>
    </w:pPr>
  </w:style>
  <w:style w:type="paragraph" w:customStyle="1" w:styleId="ReturnAddress">
    <w:name w:val="Return Address"/>
    <w:basedOn w:val="Normal"/>
    <w:semiHidden/>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semiHidden/>
    <w:pPr>
      <w:spacing w:before="0"/>
    </w:pPr>
  </w:style>
  <w:style w:type="paragraph" w:customStyle="1" w:styleId="SignatureJobTitle">
    <w:name w:val="Signature Job Title"/>
    <w:basedOn w:val="Signature"/>
    <w:next w:val="SignatureCompany"/>
    <w:semiHidden/>
    <w:pPr>
      <w:spacing w:before="0"/>
    </w:pPr>
  </w:style>
  <w:style w:type="character" w:customStyle="1" w:styleId="Slogan">
    <w:name w:val="Slogan"/>
    <w:semiHidden/>
    <w:rPr>
      <w:rFonts w:ascii="Arial Black" w:hAnsi="Arial Black"/>
      <w:sz w:val="18"/>
    </w:rPr>
  </w:style>
  <w:style w:type="paragraph" w:customStyle="1" w:styleId="SubjectLine">
    <w:name w:val="Subject Line"/>
    <w:basedOn w:val="Normal"/>
    <w:next w:val="BodyText"/>
    <w:semiHidden/>
    <w:pPr>
      <w:spacing w:after="220" w:line="220" w:lineRule="atLeast"/>
      <w:jc w:val="left"/>
    </w:pPr>
    <w:rPr>
      <w:rFonts w:ascii="Arial Black" w:hAnsi="Arial Black"/>
      <w:spacing w:val="-10"/>
    </w:rPr>
  </w:style>
  <w:style w:type="numbering" w:customStyle="1" w:styleId="Style1">
    <w:name w:val="Style1"/>
  </w:style>
  <w:style w:type="paragraph" w:customStyle="1" w:styleId="SMTMinutesGuide">
    <w:name w:val="SMT Minutes Guide"/>
    <w:basedOn w:val="Normal"/>
    <w:autoRedefine/>
    <w:pPr>
      <w:numPr>
        <w:numId w:val="15"/>
      </w:numPr>
    </w:pPr>
    <w:rPr>
      <w: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link w:val="BodyTextIndentChar"/>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numbering" w:customStyle="1" w:styleId="List1">
    <w:name w:val="List 1"/>
    <w:pPr>
      <w:numPr>
        <w:numId w:val="16"/>
      </w:numPr>
    </w:pPr>
  </w:style>
  <w:style w:type="paragraph" w:styleId="FootnoteText">
    <w:name w:val="footnote text"/>
    <w:basedOn w:val="Normal"/>
    <w:link w:val="FootnoteTextChar"/>
    <w:uiPriority w:val="99"/>
    <w:semiHidden/>
    <w:unhideWhenUsed/>
    <w:rsid w:val="004A57FD"/>
    <w:rPr>
      <w:sz w:val="20"/>
      <w:szCs w:val="20"/>
    </w:rPr>
  </w:style>
  <w:style w:type="character" w:customStyle="1" w:styleId="FootnoteTextChar">
    <w:name w:val="Footnote Text Char"/>
    <w:link w:val="FootnoteText"/>
    <w:uiPriority w:val="99"/>
    <w:semiHidden/>
    <w:rsid w:val="004A57FD"/>
    <w:rPr>
      <w:rFonts w:ascii="Verdana" w:hAnsi="Verdana"/>
      <w:spacing w:val="-5"/>
    </w:rPr>
  </w:style>
  <w:style w:type="character" w:styleId="FootnoteReference">
    <w:name w:val="footnote reference"/>
    <w:uiPriority w:val="99"/>
    <w:semiHidden/>
    <w:unhideWhenUsed/>
    <w:rsid w:val="004A57FD"/>
    <w:rPr>
      <w:vertAlign w:val="superscript"/>
    </w:rPr>
  </w:style>
  <w:style w:type="paragraph" w:styleId="BalloonText">
    <w:name w:val="Balloon Text"/>
    <w:basedOn w:val="Normal"/>
    <w:link w:val="BalloonTextChar"/>
    <w:uiPriority w:val="99"/>
    <w:semiHidden/>
    <w:unhideWhenUsed/>
    <w:rsid w:val="00333DB1"/>
    <w:rPr>
      <w:rFonts w:ascii="Tahoma" w:hAnsi="Tahoma" w:cs="Tahoma"/>
      <w:sz w:val="16"/>
      <w:szCs w:val="16"/>
    </w:rPr>
  </w:style>
  <w:style w:type="character" w:customStyle="1" w:styleId="BalloonTextChar">
    <w:name w:val="Balloon Text Char"/>
    <w:basedOn w:val="DefaultParagraphFont"/>
    <w:link w:val="BalloonText"/>
    <w:uiPriority w:val="99"/>
    <w:semiHidden/>
    <w:rsid w:val="00333DB1"/>
    <w:rPr>
      <w:rFonts w:ascii="Tahoma" w:hAnsi="Tahoma" w:cs="Tahoma"/>
      <w:spacing w:val="-5"/>
      <w:sz w:val="16"/>
      <w:szCs w:val="16"/>
    </w:rPr>
  </w:style>
  <w:style w:type="character" w:customStyle="1" w:styleId="BodyTextIndentChar">
    <w:name w:val="Body Text Indent Char"/>
    <w:basedOn w:val="DefaultParagraphFont"/>
    <w:link w:val="BodyTextIndent"/>
    <w:semiHidden/>
    <w:rsid w:val="00EC2AC6"/>
    <w:rPr>
      <w:rFonts w:ascii="Verdana" w:hAnsi="Verdana"/>
      <w:spacing w:val="-5"/>
      <w:sz w:val="22"/>
      <w:szCs w:val="22"/>
    </w:rPr>
  </w:style>
  <w:style w:type="character" w:customStyle="1" w:styleId="HeaderChar">
    <w:name w:val="Header Char"/>
    <w:basedOn w:val="DefaultParagraphFont"/>
    <w:link w:val="Header"/>
    <w:uiPriority w:val="99"/>
    <w:rsid w:val="009D6C5E"/>
    <w:rPr>
      <w:rFonts w:ascii="Verdana" w:hAnsi="Verdana"/>
      <w:spacing w:val="-5"/>
      <w:sz w:val="22"/>
      <w:szCs w:val="22"/>
    </w:rPr>
  </w:style>
  <w:style w:type="character" w:customStyle="1" w:styleId="FooterChar">
    <w:name w:val="Footer Char"/>
    <w:basedOn w:val="DefaultParagraphFont"/>
    <w:link w:val="Footer"/>
    <w:uiPriority w:val="99"/>
    <w:rsid w:val="009D6C5E"/>
    <w:rPr>
      <w:rFonts w:ascii="Verdana" w:hAnsi="Verdana"/>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senate.gov/laws/statutes" TargetMode="External"/><Relationship Id="rId18" Type="http://schemas.openxmlformats.org/officeDocument/2006/relationships/hyperlink" Target="https://www.flrules.org/gateway/ChapterHome.asp?Chapter=12D-9" TargetMode="External"/><Relationship Id="rId26" Type="http://schemas.openxmlformats.org/officeDocument/2006/relationships/hyperlink" Target="https://www.flrules.org/gateway/ChapterHome.asp?Chapter=12D-9" TargetMode="External"/><Relationship Id="rId21" Type="http://schemas.openxmlformats.org/officeDocument/2006/relationships/hyperlink" Target="http://www.flsenate.gov/laws/statutes" TargetMode="External"/><Relationship Id="rId34" Type="http://schemas.openxmlformats.org/officeDocument/2006/relationships/hyperlink" Target="https://www.flrules.org/gateway/ChapterHome.asp?Chapter=12D-9" TargetMode="External"/><Relationship Id="rId7" Type="http://schemas.openxmlformats.org/officeDocument/2006/relationships/footnotes" Target="footnotes.xml"/><Relationship Id="rId12" Type="http://schemas.openxmlformats.org/officeDocument/2006/relationships/hyperlink" Target="http://www.flsenate.gov/laws/statutes" TargetMode="External"/><Relationship Id="rId17" Type="http://schemas.openxmlformats.org/officeDocument/2006/relationships/hyperlink" Target="http://www.myfloridalegal.com/sun.nsf/sunmanual" TargetMode="External"/><Relationship Id="rId25" Type="http://schemas.openxmlformats.org/officeDocument/2006/relationships/hyperlink" Target="http://www.flsenate.gov/laws/statutes" TargetMode="External"/><Relationship Id="rId33" Type="http://schemas.openxmlformats.org/officeDocument/2006/relationships/hyperlink" Target="http://www.flsenate.gov/laws/statut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lsenate.gov/laws/statutes" TargetMode="External"/><Relationship Id="rId20" Type="http://schemas.openxmlformats.org/officeDocument/2006/relationships/hyperlink" Target="http://www.flsenate.gov/laws/statutes" TargetMode="External"/><Relationship Id="rId29" Type="http://schemas.openxmlformats.org/officeDocument/2006/relationships/hyperlink" Target="https://www.flrules.org/gateway/ChapterHome.asp?Chapter=12D-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senate.gov/laws/statutes" TargetMode="External"/><Relationship Id="rId24" Type="http://schemas.openxmlformats.org/officeDocument/2006/relationships/hyperlink" Target="http://www.flsenate.gov/laws/statutes" TargetMode="External"/><Relationship Id="rId32" Type="http://schemas.openxmlformats.org/officeDocument/2006/relationships/hyperlink" Target="http://www.flsenate.gov/laws/statut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lrules.org/gateway/ChapterHome.asp?Chapter=12D-9" TargetMode="External"/><Relationship Id="rId23" Type="http://schemas.openxmlformats.org/officeDocument/2006/relationships/hyperlink" Target="http://www.flsenate.gov/laws/statutes" TargetMode="External"/><Relationship Id="rId28" Type="http://schemas.openxmlformats.org/officeDocument/2006/relationships/hyperlink" Target="http://www.flsenate.gov/laws/statutes" TargetMode="External"/><Relationship Id="rId36" Type="http://schemas.openxmlformats.org/officeDocument/2006/relationships/footer" Target="footer1.xml"/><Relationship Id="rId10" Type="http://schemas.openxmlformats.org/officeDocument/2006/relationships/hyperlink" Target="https://www.flrules.org/gateway/RuleNo.asp?title=Requirements%20For%20Value%20Adjustment%20Boards%20in%20Administrative%20Reviews;%20Uniform%20Rules%20of%20Procedure%20For%20Hearings%20Before%20Value%20Adjustment%20Boards&amp;ID=12D-9.005" TargetMode="External"/><Relationship Id="rId19" Type="http://schemas.openxmlformats.org/officeDocument/2006/relationships/hyperlink" Target="https://www.flrules.org/gateway/ChapterHome.asp?Chapter=12D-9" TargetMode="External"/><Relationship Id="rId31" Type="http://schemas.openxmlformats.org/officeDocument/2006/relationships/hyperlink" Target="https://www.flrules.org/gateway/ChapterHome.asp?Chapter=12D-51" TargetMode="External"/><Relationship Id="rId4" Type="http://schemas.openxmlformats.org/officeDocument/2006/relationships/styles" Target="styles.xml"/><Relationship Id="rId9" Type="http://schemas.openxmlformats.org/officeDocument/2006/relationships/hyperlink" Target="http://www.flsenate.gov/laws/statutes" TargetMode="External"/><Relationship Id="rId14" Type="http://schemas.openxmlformats.org/officeDocument/2006/relationships/hyperlink" Target="https://www.flrules.org/gateway/ChapterHome.asp?Chapter=12D-9" TargetMode="External"/><Relationship Id="rId22" Type="http://schemas.openxmlformats.org/officeDocument/2006/relationships/hyperlink" Target="http://www.flsenate.gov/laws/statutes" TargetMode="External"/><Relationship Id="rId27" Type="http://schemas.openxmlformats.org/officeDocument/2006/relationships/hyperlink" Target="http://www.flsenate.gov/laws/statutes" TargetMode="External"/><Relationship Id="rId30" Type="http://schemas.openxmlformats.org/officeDocument/2006/relationships/hyperlink" Target="https://www.flrules.org/gateway/ChapterHome.asp?Chapter=12D-10" TargetMode="External"/><Relationship Id="rId35" Type="http://schemas.openxmlformats.org/officeDocument/2006/relationships/hyperlink" Target="https://www.flrules.org/gateway/ChapterHome.asp?Chapter=12D-10"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Suwannee County Value Adjustment Board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1325D-E2B6-457B-B3B6-3D9AF7DE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RESOLUTION NO 1 OF</vt:lpstr>
    </vt:vector>
  </TitlesOfParts>
  <Company>Leon County</Company>
  <LinksUpToDate>false</LinksUpToDate>
  <CharactersWithSpaces>9234</CharactersWithSpaces>
  <SharedDoc>false</SharedDoc>
  <HLinks>
    <vt:vector size="6" baseType="variant">
      <vt:variant>
        <vt:i4>6815817</vt:i4>
      </vt:variant>
      <vt:variant>
        <vt:i4>-1</vt:i4>
      </vt:variant>
      <vt:variant>
        <vt:i4>1030</vt:i4>
      </vt:variant>
      <vt:variant>
        <vt:i4>1</vt:i4>
      </vt:variant>
      <vt:variant>
        <vt:lpwstr>C:\DOCUME~1\CAMills\LOCALS~1\Temp\XPgrpwise\4FC63810LeonCoClerk100139726718408B1\IMAGE.gif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1 OF</dc:title>
  <dc:creator>Catherine A. Mills, Executive Assistant</dc:creator>
  <cp:lastModifiedBy>Toni Hernandez</cp:lastModifiedBy>
  <cp:revision>2</cp:revision>
  <cp:lastPrinted>2020-08-20T16:05:00Z</cp:lastPrinted>
  <dcterms:created xsi:type="dcterms:W3CDTF">2022-08-24T20:39:00Z</dcterms:created>
  <dcterms:modified xsi:type="dcterms:W3CDTF">2022-08-24T20:39:00Z</dcterms:modified>
</cp:coreProperties>
</file>