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67" w:rsidRPr="00E03020" w:rsidRDefault="00E03020">
      <w:pPr>
        <w:rPr>
          <w:b/>
          <w:sz w:val="24"/>
          <w:szCs w:val="24"/>
        </w:rPr>
      </w:pPr>
      <w:bookmarkStart w:id="0" w:name="_GoBack"/>
      <w:bookmarkEnd w:id="0"/>
      <w:r w:rsidRPr="00E03020">
        <w:rPr>
          <w:b/>
          <w:sz w:val="24"/>
          <w:szCs w:val="24"/>
        </w:rPr>
        <w:t>A GUIDE TO SMALL CLAIMS</w:t>
      </w:r>
    </w:p>
    <w:p w:rsidR="00E03020" w:rsidRPr="00E03020" w:rsidRDefault="00E03020" w:rsidP="00E03020">
      <w:pPr>
        <w:pStyle w:val="ListParagraph"/>
        <w:numPr>
          <w:ilvl w:val="0"/>
          <w:numId w:val="1"/>
        </w:numPr>
        <w:rPr>
          <w:b/>
        </w:rPr>
      </w:pPr>
      <w:r w:rsidRPr="00E03020">
        <w:rPr>
          <w:b/>
        </w:rPr>
        <w:t>What is a small claims case?</w:t>
      </w:r>
    </w:p>
    <w:p w:rsidR="00E03020" w:rsidRPr="00E03020" w:rsidRDefault="00E03020" w:rsidP="00E03020">
      <w:r w:rsidRPr="00E03020">
        <w:t>A small claims case is a legal action filed in county court to settle minor legal disputes among parties where the dollar amount is $5,000 of less, excluding costs, interest, and attorney’s fees.</w:t>
      </w:r>
    </w:p>
    <w:p w:rsidR="00E03020" w:rsidRPr="00E03020" w:rsidRDefault="00E03020" w:rsidP="00E03020">
      <w:pPr>
        <w:pStyle w:val="ListParagraph"/>
        <w:numPr>
          <w:ilvl w:val="0"/>
          <w:numId w:val="1"/>
        </w:numPr>
        <w:rPr>
          <w:b/>
        </w:rPr>
      </w:pPr>
      <w:r w:rsidRPr="00E03020">
        <w:rPr>
          <w:b/>
        </w:rPr>
        <w:t>Who may file a small claims case?</w:t>
      </w:r>
    </w:p>
    <w:p w:rsidR="00E03020" w:rsidRPr="00E03020" w:rsidRDefault="00E03020" w:rsidP="00E03020">
      <w:r w:rsidRPr="00E03020">
        <w:t xml:space="preserve">Any person 18 years or older, and any individual doing business as a company, may file a small claims case.  Each person who is a party to the claim must appear at the Clerk’s Office to sign the necessary paperwork in the presence of a deputy clerk, or the signatures </w:t>
      </w:r>
      <w:proofErr w:type="gramStart"/>
      <w:r w:rsidRPr="00E03020">
        <w:t>must be notarized</w:t>
      </w:r>
      <w:proofErr w:type="gramEnd"/>
      <w:r w:rsidRPr="00E03020">
        <w:t>.</w:t>
      </w:r>
    </w:p>
    <w:p w:rsidR="00E03020" w:rsidRPr="00E03020" w:rsidRDefault="00E03020" w:rsidP="00E03020">
      <w:pPr>
        <w:pStyle w:val="ListParagraph"/>
        <w:numPr>
          <w:ilvl w:val="0"/>
          <w:numId w:val="1"/>
        </w:numPr>
        <w:rPr>
          <w:b/>
        </w:rPr>
      </w:pPr>
      <w:r w:rsidRPr="00E03020">
        <w:rPr>
          <w:b/>
        </w:rPr>
        <w:t xml:space="preserve"> Is an attorney necessary?</w:t>
      </w:r>
    </w:p>
    <w:p w:rsidR="00E03020" w:rsidRPr="00E03020" w:rsidRDefault="00E03020" w:rsidP="00E03020">
      <w:r w:rsidRPr="00E03020">
        <w:t xml:space="preserve">No.  Small claims court </w:t>
      </w:r>
      <w:proofErr w:type="gramStart"/>
      <w:r w:rsidRPr="00E03020">
        <w:t>is considered</w:t>
      </w:r>
      <w:proofErr w:type="gramEnd"/>
      <w:r w:rsidRPr="00E03020">
        <w:t xml:space="preserve"> a “</w:t>
      </w:r>
      <w:proofErr w:type="spellStart"/>
      <w:r w:rsidRPr="00E03020">
        <w:t>peoples</w:t>
      </w:r>
      <w:proofErr w:type="spellEnd"/>
      <w:r w:rsidRPr="00E03020">
        <w:t xml:space="preserve"> court” and a lawyer is not required.  Clerk’s Office personnel will provide you with the necessary forms for filing a small claims case.</w:t>
      </w:r>
    </w:p>
    <w:p w:rsidR="00E03020" w:rsidRPr="00E03020" w:rsidRDefault="00E03020" w:rsidP="00E03020">
      <w:pPr>
        <w:pStyle w:val="ListParagraph"/>
        <w:numPr>
          <w:ilvl w:val="0"/>
          <w:numId w:val="1"/>
        </w:numPr>
        <w:rPr>
          <w:b/>
        </w:rPr>
      </w:pPr>
      <w:r w:rsidRPr="00E03020">
        <w:rPr>
          <w:b/>
        </w:rPr>
        <w:t xml:space="preserve"> What does it cost to file a small claims case?</w:t>
      </w:r>
    </w:p>
    <w:p w:rsidR="00E03020" w:rsidRPr="00E03020" w:rsidRDefault="00E03020" w:rsidP="00E03020">
      <w:r w:rsidRPr="00E03020">
        <w:t xml:space="preserve">Filing fees for small claims actions </w:t>
      </w:r>
      <w:proofErr w:type="gramStart"/>
      <w:r w:rsidRPr="00E03020">
        <w:t>are determined</w:t>
      </w:r>
      <w:proofErr w:type="gramEnd"/>
      <w:r w:rsidRPr="00E03020">
        <w:t xml:space="preserve"> by the Florida Statues, and are subject to annual change by the legislature.  Fees also vary in accordance with the dollar amount of your claim and type of action.  Other fees are required for service on the parties sued and are dependent on the type of service your select.  A schedule of current service changes is available on the clerk’s website and in any clerk’s office for your information.  </w:t>
      </w:r>
    </w:p>
    <w:p w:rsidR="00E03020" w:rsidRPr="00E03020" w:rsidRDefault="00E03020" w:rsidP="00E03020">
      <w:pPr>
        <w:pStyle w:val="ListParagraph"/>
        <w:numPr>
          <w:ilvl w:val="0"/>
          <w:numId w:val="1"/>
        </w:numPr>
        <w:rPr>
          <w:b/>
        </w:rPr>
      </w:pPr>
      <w:r w:rsidRPr="00E03020">
        <w:rPr>
          <w:b/>
        </w:rPr>
        <w:t xml:space="preserve"> What information </w:t>
      </w:r>
      <w:proofErr w:type="gramStart"/>
      <w:r w:rsidRPr="00E03020">
        <w:rPr>
          <w:b/>
        </w:rPr>
        <w:t>is needed</w:t>
      </w:r>
      <w:proofErr w:type="gramEnd"/>
      <w:r w:rsidRPr="00E03020">
        <w:rPr>
          <w:b/>
        </w:rPr>
        <w:t xml:space="preserve"> to file a small claims case?</w:t>
      </w:r>
    </w:p>
    <w:p w:rsidR="00E03020" w:rsidRPr="00E03020" w:rsidRDefault="00E03020" w:rsidP="00E03020">
      <w:r w:rsidRPr="00E03020">
        <w:t xml:space="preserve">It is important that the claim </w:t>
      </w:r>
      <w:proofErr w:type="gramStart"/>
      <w:r w:rsidRPr="00E03020">
        <w:t>is filed</w:t>
      </w:r>
      <w:proofErr w:type="gramEnd"/>
      <w:r w:rsidRPr="00E03020">
        <w:t xml:space="preserve"> against the right party and the address be provided where the defendant can be served.  The additional time spent researching the correct name and address could make a difference in the ability to collect on any judgment entered by the court.  </w:t>
      </w:r>
    </w:p>
    <w:p w:rsidR="00E03020" w:rsidRDefault="00E03020" w:rsidP="00E03020">
      <w:r w:rsidRPr="00E03020">
        <w:t xml:space="preserve">Copies of any contracts, notes, leases, receipts, or other evidence in support of the claim </w:t>
      </w:r>
      <w:proofErr w:type="gramStart"/>
      <w:r w:rsidRPr="00E03020">
        <w:t>must be furnished</w:t>
      </w:r>
      <w:proofErr w:type="gramEnd"/>
      <w:r w:rsidRPr="00E03020">
        <w:t xml:space="preserve"> for each person sued and the court.  The original </w:t>
      </w:r>
      <w:proofErr w:type="gramStart"/>
      <w:r w:rsidRPr="00E03020">
        <w:t>must be brought</w:t>
      </w:r>
      <w:proofErr w:type="gramEnd"/>
      <w:r w:rsidRPr="00E03020">
        <w:t xml:space="preserve"> to the first court appearance.  A full explanation of the reason for the small claims action will be necessary.</w:t>
      </w:r>
    </w:p>
    <w:p w:rsidR="00E03020" w:rsidRPr="005E6462" w:rsidRDefault="00E03020" w:rsidP="00E03020">
      <w:pPr>
        <w:pStyle w:val="ListParagraph"/>
        <w:numPr>
          <w:ilvl w:val="0"/>
          <w:numId w:val="1"/>
        </w:numPr>
        <w:rPr>
          <w:b/>
        </w:rPr>
      </w:pPr>
      <w:r w:rsidRPr="005E6462">
        <w:rPr>
          <w:b/>
        </w:rPr>
        <w:t xml:space="preserve"> Are there other requirements?</w:t>
      </w:r>
    </w:p>
    <w:p w:rsidR="00E03020" w:rsidRDefault="00E03020" w:rsidP="00E03020">
      <w:r>
        <w:t xml:space="preserve">If someone other than an individual </w:t>
      </w:r>
      <w:proofErr w:type="gramStart"/>
      <w:r>
        <w:t>is sued</w:t>
      </w:r>
      <w:proofErr w:type="gramEnd"/>
      <w:r>
        <w:t>, additional information is needed to complete</w:t>
      </w:r>
      <w:r w:rsidR="005E6462">
        <w:t xml:space="preserve"> the required forms.  For example, is the individual doing business as a company, a partnership where there are several people doing business as a company, or corporation?</w:t>
      </w:r>
    </w:p>
    <w:p w:rsidR="005E6462" w:rsidRPr="00227151" w:rsidRDefault="005E6462" w:rsidP="005E6462">
      <w:pPr>
        <w:pStyle w:val="ListParagraph"/>
        <w:numPr>
          <w:ilvl w:val="0"/>
          <w:numId w:val="1"/>
        </w:numPr>
        <w:rPr>
          <w:b/>
        </w:rPr>
      </w:pPr>
      <w:r>
        <w:t xml:space="preserve"> </w:t>
      </w:r>
      <w:r w:rsidRPr="00227151">
        <w:rPr>
          <w:b/>
        </w:rPr>
        <w:t>What happens after the filing of a small claims case?</w:t>
      </w:r>
    </w:p>
    <w:p w:rsidR="005E6462" w:rsidRDefault="005E6462" w:rsidP="005E6462">
      <w:pPr>
        <w:ind w:left="360"/>
      </w:pPr>
      <w:r>
        <w:t xml:space="preserve">After the case </w:t>
      </w:r>
      <w:proofErr w:type="gramStart"/>
      <w:r>
        <w:t>is filed</w:t>
      </w:r>
      <w:proofErr w:type="gramEnd"/>
      <w:r>
        <w:t>, each person or business sued must be served with a Summons or Notice to appear in court on the date and time scheduled when the claim was filed.  This court date will be pretrial conference and parties should be prepared to present their cases in court.</w:t>
      </w:r>
    </w:p>
    <w:p w:rsidR="005E6462" w:rsidRDefault="005E6462" w:rsidP="005E6462">
      <w:pPr>
        <w:ind w:left="360"/>
      </w:pPr>
      <w:r>
        <w:t>At the pretrial conference, mediati</w:t>
      </w:r>
      <w:r w:rsidR="00227151">
        <w:t xml:space="preserve">on </w:t>
      </w:r>
      <w:proofErr w:type="gramStart"/>
      <w:r w:rsidR="00227151">
        <w:t>is ordered</w:t>
      </w:r>
      <w:proofErr w:type="gramEnd"/>
      <w:r w:rsidR="00227151">
        <w:t xml:space="preserve">, if </w:t>
      </w:r>
      <w:r w:rsidR="00227151">
        <w:rPr>
          <w:b/>
        </w:rPr>
        <w:t>both</w:t>
      </w:r>
      <w:r w:rsidR="00227151">
        <w:t xml:space="preserve"> parties </w:t>
      </w:r>
      <w:r>
        <w:t>t</w:t>
      </w:r>
      <w:r w:rsidR="00227151">
        <w:t>o</w:t>
      </w:r>
      <w:r>
        <w:t xml:space="preserve"> the dispute are </w:t>
      </w:r>
      <w:r>
        <w:t xml:space="preserve">present and unable to settle their dispute.  A mediator acts to encourage and facilitate the resolution of a dispute between two or more parties.  Mediation is an informal and non-adversarial process with the objective of helping the disputing parties reach </w:t>
      </w:r>
      <w:proofErr w:type="gramStart"/>
      <w:r>
        <w:t>an</w:t>
      </w:r>
      <w:proofErr w:type="gramEnd"/>
      <w:r>
        <w:t xml:space="preserve"> mutually acceptable and voluntary agreement.</w:t>
      </w:r>
    </w:p>
    <w:p w:rsidR="00227151" w:rsidRDefault="00227151" w:rsidP="005E6462">
      <w:pPr>
        <w:ind w:left="360"/>
      </w:pPr>
      <w:r>
        <w:t xml:space="preserve">If the dispute </w:t>
      </w:r>
      <w:proofErr w:type="gramStart"/>
      <w:r>
        <w:t>cannot be settled</w:t>
      </w:r>
      <w:proofErr w:type="gramEnd"/>
      <w:r>
        <w:t xml:space="preserve"> at the pretrial conference, the court will schedule a trial date.  The parties must appear at the trial with all witnesses and documentation.</w:t>
      </w:r>
    </w:p>
    <w:p w:rsidR="00227151" w:rsidRDefault="00227151" w:rsidP="005E6462">
      <w:pPr>
        <w:ind w:left="360"/>
      </w:pPr>
      <w:r>
        <w:t>At the trial, both parties will have an opportunity to explain the case to the judge, aske the other party questions about the claim, present documentation as discussed at the pretrial conference, and call witnesses.</w:t>
      </w:r>
    </w:p>
    <w:p w:rsidR="00227151" w:rsidRPr="00E655A3" w:rsidRDefault="00227151" w:rsidP="00227151">
      <w:pPr>
        <w:pStyle w:val="ListParagraph"/>
        <w:numPr>
          <w:ilvl w:val="0"/>
          <w:numId w:val="1"/>
        </w:numPr>
        <w:rPr>
          <w:b/>
        </w:rPr>
      </w:pPr>
      <w:r w:rsidRPr="00E655A3">
        <w:rPr>
          <w:b/>
        </w:rPr>
        <w:t xml:space="preserve"> Why use mediation?</w:t>
      </w:r>
    </w:p>
    <w:p w:rsidR="00E10A24" w:rsidRDefault="00E10A24" w:rsidP="00E10A24">
      <w:pPr>
        <w:ind w:left="360"/>
      </w:pPr>
      <w:r>
        <w:t>Mediation is economical.</w:t>
      </w:r>
    </w:p>
    <w:p w:rsidR="00E10A24" w:rsidRDefault="00E10A24" w:rsidP="00E10A24">
      <w:pPr>
        <w:ind w:left="360"/>
      </w:pPr>
      <w:r>
        <w:t>Both parties view settlement as fair.  Both parties remain in control and participate in a “win-win” solution.</w:t>
      </w:r>
    </w:p>
    <w:p w:rsidR="00E10A24" w:rsidRDefault="00E10A24" w:rsidP="00E10A24">
      <w:pPr>
        <w:ind w:left="360"/>
      </w:pPr>
      <w:r>
        <w:t>There is one court meeting.</w:t>
      </w:r>
    </w:p>
    <w:p w:rsidR="00E10A24" w:rsidRDefault="00E10A24" w:rsidP="00E10A24">
      <w:pPr>
        <w:ind w:left="360"/>
      </w:pPr>
      <w:r>
        <w:t>There is no need to subpoena evidence or witnesses and depend on their presence at trial.  There is no extensive trial preparation.</w:t>
      </w:r>
    </w:p>
    <w:p w:rsidR="00E10A24" w:rsidRDefault="00E10A24" w:rsidP="00E10A24">
      <w:pPr>
        <w:ind w:left="360"/>
      </w:pPr>
      <w:r>
        <w:t>Mediation preserves personal and business relationships.</w:t>
      </w:r>
    </w:p>
    <w:p w:rsidR="00E10A24" w:rsidRDefault="00E10A24" w:rsidP="00E10A24">
      <w:pPr>
        <w:ind w:left="360"/>
      </w:pPr>
      <w:r>
        <w:lastRenderedPageBreak/>
        <w:t>Mediation allows debtors to arrange repayment plans, avoid a judgment, and preserve credit reputation.</w:t>
      </w:r>
    </w:p>
    <w:p w:rsidR="00E10A24" w:rsidRDefault="00E10A24" w:rsidP="00E10A24">
      <w:pPr>
        <w:ind w:left="360"/>
      </w:pPr>
      <w:r>
        <w:t>Mediation protects privacy and avoid the publicity of a trial.</w:t>
      </w:r>
    </w:p>
    <w:p w:rsidR="00E10A24" w:rsidRDefault="00E10A24" w:rsidP="00E10A24">
      <w:pPr>
        <w:ind w:left="360"/>
      </w:pPr>
      <w:r>
        <w:t>The agreement is final and the dispute is resolved.</w:t>
      </w:r>
    </w:p>
    <w:p w:rsidR="00E10A24" w:rsidRPr="00E655A3" w:rsidRDefault="00E10A24" w:rsidP="00E10A24">
      <w:pPr>
        <w:pStyle w:val="ListParagraph"/>
        <w:numPr>
          <w:ilvl w:val="0"/>
          <w:numId w:val="1"/>
        </w:numPr>
        <w:rPr>
          <w:b/>
        </w:rPr>
      </w:pPr>
      <w:r w:rsidRPr="00E655A3">
        <w:rPr>
          <w:b/>
        </w:rPr>
        <w:t xml:space="preserve"> Is a jury trial possible in a small claims case?</w:t>
      </w:r>
    </w:p>
    <w:p w:rsidR="00E10A24" w:rsidRDefault="00E10A24" w:rsidP="00E10A24">
      <w:pPr>
        <w:ind w:left="360"/>
      </w:pPr>
      <w:r>
        <w:t xml:space="preserve">The person filing a small claims case may request a trial by jury, upon written demand at the time the case </w:t>
      </w:r>
      <w:proofErr w:type="gramStart"/>
      <w:r>
        <w:t>is filed</w:t>
      </w:r>
      <w:proofErr w:type="gramEnd"/>
      <w:r>
        <w:t xml:space="preserve">.  The person </w:t>
      </w:r>
      <w:proofErr w:type="gramStart"/>
      <w:r>
        <w:t>being sued</w:t>
      </w:r>
      <w:proofErr w:type="gramEnd"/>
      <w:r>
        <w:t xml:space="preserve"> may request a jury trial within 5 days after service of Notice or at the pretrial conference.</w:t>
      </w:r>
    </w:p>
    <w:p w:rsidR="00E10A24" w:rsidRDefault="00E10A24" w:rsidP="00E10A24">
      <w:pPr>
        <w:pStyle w:val="ListParagraph"/>
        <w:numPr>
          <w:ilvl w:val="0"/>
          <w:numId w:val="1"/>
        </w:numPr>
      </w:pPr>
      <w:r>
        <w:t xml:space="preserve"> What happens to a small claims case if settlement </w:t>
      </w:r>
      <w:proofErr w:type="gramStart"/>
      <w:r>
        <w:t>is reached</w:t>
      </w:r>
      <w:proofErr w:type="gramEnd"/>
      <w:r>
        <w:t>?</w:t>
      </w:r>
    </w:p>
    <w:p w:rsidR="00E10A24" w:rsidRDefault="00E10A24" w:rsidP="00E10A24">
      <w:pPr>
        <w:ind w:left="360"/>
      </w:pPr>
      <w:r>
        <w:t xml:space="preserve">If, at any time during the proceedings </w:t>
      </w:r>
      <w:proofErr w:type="gramStart"/>
      <w:r>
        <w:t>a settlement is reached by the parties</w:t>
      </w:r>
      <w:proofErr w:type="gramEnd"/>
      <w:r>
        <w:t>, the person who filed the suit must notify the Clerk’s Office in writing of the settlement.</w:t>
      </w:r>
    </w:p>
    <w:p w:rsidR="00E10A24" w:rsidRPr="00E655A3" w:rsidRDefault="00E10A24" w:rsidP="00E10A24">
      <w:pPr>
        <w:pStyle w:val="ListParagraph"/>
        <w:numPr>
          <w:ilvl w:val="0"/>
          <w:numId w:val="1"/>
        </w:numPr>
        <w:rPr>
          <w:b/>
        </w:rPr>
      </w:pPr>
      <w:r w:rsidRPr="00E655A3">
        <w:rPr>
          <w:b/>
        </w:rPr>
        <w:t xml:space="preserve"> How does a party collect on a judgment?</w:t>
      </w:r>
    </w:p>
    <w:p w:rsidR="00E10A24" w:rsidRDefault="00E10A24" w:rsidP="00E10A24">
      <w:pPr>
        <w:ind w:left="360"/>
      </w:pPr>
      <w:r>
        <w:t xml:space="preserve">The court will not collect money damages for the parties.  If a party chooses </w:t>
      </w:r>
      <w:proofErr w:type="spellStart"/>
      <w:r>
        <w:t>ot</w:t>
      </w:r>
      <w:proofErr w:type="spellEnd"/>
      <w:r>
        <w:t xml:space="preserve"> place judgment lien against any individually owned real property of the defendant, that party should obtain a certified copy of the judgment and record it in the Official Records in the Clerk’s Recording Division, located </w:t>
      </w:r>
      <w:proofErr w:type="spellStart"/>
      <w:r>
        <w:t>a</w:t>
      </w:r>
      <w:proofErr w:type="spellEnd"/>
      <w:r>
        <w:t xml:space="preserve"> the Liberty County Courthouse.  Fees for recording </w:t>
      </w:r>
      <w:proofErr w:type="gramStart"/>
      <w:r>
        <w:t>are set</w:t>
      </w:r>
      <w:proofErr w:type="gramEnd"/>
      <w:r>
        <w:t xml:space="preserve"> by Florida </w:t>
      </w:r>
      <w:r>
        <w:t xml:space="preserve">Statute, and are subject to annual change by the Legislature.  See </w:t>
      </w:r>
      <w:hyperlink r:id="rId6" w:history="1">
        <w:r w:rsidRPr="006C6123">
          <w:rPr>
            <w:rStyle w:val="Hyperlink"/>
          </w:rPr>
          <w:t>www.sunbiz.org</w:t>
        </w:r>
      </w:hyperlink>
      <w:r>
        <w:t xml:space="preserve"> for information on How to Collect a Judgment in Florida.</w:t>
      </w:r>
    </w:p>
    <w:p w:rsidR="003E10A0" w:rsidRDefault="003E10A0" w:rsidP="00E10A24">
      <w:pPr>
        <w:ind w:left="360"/>
      </w:pPr>
    </w:p>
    <w:p w:rsidR="003E10A0" w:rsidRDefault="003E10A0" w:rsidP="00E10A24">
      <w:pPr>
        <w:ind w:left="360"/>
      </w:pPr>
    </w:p>
    <w:tbl>
      <w:tblPr>
        <w:tblStyle w:val="TableGrid"/>
        <w:tblW w:w="0" w:type="auto"/>
        <w:tblInd w:w="360" w:type="dxa"/>
        <w:tblLook w:val="04A0" w:firstRow="1" w:lastRow="0" w:firstColumn="1" w:lastColumn="0" w:noHBand="0" w:noVBand="1"/>
      </w:tblPr>
      <w:tblGrid>
        <w:gridCol w:w="3950"/>
      </w:tblGrid>
      <w:tr w:rsidR="00E10A24" w:rsidTr="00E10A24">
        <w:trPr>
          <w:trHeight w:val="2357"/>
        </w:trPr>
        <w:tc>
          <w:tcPr>
            <w:tcW w:w="4310" w:type="dxa"/>
          </w:tcPr>
          <w:p w:rsidR="00E10A24" w:rsidRPr="003E10A0" w:rsidRDefault="00E10A24" w:rsidP="00E10A24">
            <w:pPr>
              <w:rPr>
                <w:rFonts w:ascii="Times New Roman" w:hAnsi="Times New Roman" w:cs="Times New Roman"/>
              </w:rPr>
            </w:pPr>
            <w:r w:rsidRPr="003E10A0">
              <w:rPr>
                <w:rFonts w:ascii="Times New Roman" w:hAnsi="Times New Roman" w:cs="Times New Roman"/>
              </w:rPr>
              <w:t xml:space="preserve">If you are a person with a disability who needs any accommodation in order to participate in this proceeding, you are entitled, at no cost to you, to the provision of certain assistance.  Please contact </w:t>
            </w:r>
            <w:r w:rsidR="003E10A0" w:rsidRPr="003E10A0">
              <w:rPr>
                <w:rFonts w:ascii="Times New Roman" w:hAnsi="Times New Roman" w:cs="Times New Roman"/>
              </w:rPr>
              <w:t xml:space="preserve">ADA Coordinator; 301 South Monroe Street, Room 225, Tallahassee, </w:t>
            </w:r>
            <w:proofErr w:type="spellStart"/>
            <w:r w:rsidR="003E10A0" w:rsidRPr="003E10A0">
              <w:rPr>
                <w:rFonts w:ascii="Times New Roman" w:hAnsi="Times New Roman" w:cs="Times New Roman"/>
              </w:rPr>
              <w:t>Fl</w:t>
            </w:r>
            <w:proofErr w:type="spellEnd"/>
            <w:r w:rsidR="003E10A0" w:rsidRPr="003E10A0">
              <w:rPr>
                <w:rFonts w:ascii="Times New Roman" w:hAnsi="Times New Roman" w:cs="Times New Roman"/>
              </w:rPr>
              <w:t xml:space="preserve"> 32301; 850-606-4401 at least 7 days before your scheduled court appearance, or immediately upon receiving this notification if the time before the scheduled appearance is less than 7 days; if you are hearing or voice impaired, call 711.</w:t>
            </w:r>
          </w:p>
        </w:tc>
      </w:tr>
    </w:tbl>
    <w:p w:rsidR="00E10A24" w:rsidRDefault="00E10A24" w:rsidP="00E10A24">
      <w:pPr>
        <w:ind w:left="360"/>
      </w:pPr>
    </w:p>
    <w:p w:rsidR="003E10A0" w:rsidRDefault="003E10A0" w:rsidP="00E10A24">
      <w:pPr>
        <w:ind w:left="360"/>
      </w:pPr>
    </w:p>
    <w:p w:rsidR="003E10A0" w:rsidRDefault="003E10A0" w:rsidP="00E10A24">
      <w:pPr>
        <w:ind w:left="360"/>
      </w:pPr>
    </w:p>
    <w:p w:rsidR="003E10A0" w:rsidRDefault="003E10A0" w:rsidP="00E10A24">
      <w:pPr>
        <w:ind w:left="360"/>
      </w:pPr>
    </w:p>
    <w:p w:rsidR="003E10A0" w:rsidRPr="003E10A0" w:rsidRDefault="003E10A0" w:rsidP="003E10A0">
      <w:pPr>
        <w:pStyle w:val="NoSpacing"/>
        <w:jc w:val="center"/>
        <w:rPr>
          <w:b/>
        </w:rPr>
      </w:pPr>
      <w:r w:rsidRPr="003E10A0">
        <w:rPr>
          <w:b/>
        </w:rPr>
        <w:t>Small Claims Division</w:t>
      </w:r>
    </w:p>
    <w:p w:rsidR="003E10A0" w:rsidRDefault="003E10A0" w:rsidP="003E10A0">
      <w:pPr>
        <w:pStyle w:val="NoSpacing"/>
        <w:jc w:val="center"/>
      </w:pPr>
      <w:proofErr w:type="gramStart"/>
      <w:r>
        <w:t>10818</w:t>
      </w:r>
      <w:proofErr w:type="gramEnd"/>
      <w:r>
        <w:t xml:space="preserve"> NW S.R. 20</w:t>
      </w:r>
    </w:p>
    <w:p w:rsidR="003E10A0" w:rsidRDefault="003E10A0" w:rsidP="003E10A0">
      <w:pPr>
        <w:pStyle w:val="NoSpacing"/>
        <w:jc w:val="center"/>
      </w:pPr>
      <w:r>
        <w:t xml:space="preserve">Bristol, </w:t>
      </w:r>
      <w:proofErr w:type="spellStart"/>
      <w:r>
        <w:t>Fl</w:t>
      </w:r>
      <w:proofErr w:type="spellEnd"/>
      <w:r>
        <w:t xml:space="preserve"> 32321</w:t>
      </w:r>
    </w:p>
    <w:p w:rsidR="003E10A0" w:rsidRDefault="003E10A0" w:rsidP="003E10A0">
      <w:pPr>
        <w:pStyle w:val="NoSpacing"/>
        <w:jc w:val="center"/>
      </w:pPr>
    </w:p>
    <w:p w:rsidR="003E10A0" w:rsidRDefault="003E10A0" w:rsidP="003E10A0">
      <w:pPr>
        <w:pStyle w:val="NoSpacing"/>
        <w:jc w:val="center"/>
      </w:pPr>
      <w:r>
        <w:t>850-643-2215</w:t>
      </w:r>
    </w:p>
    <w:p w:rsidR="003E10A0" w:rsidRDefault="003E10A0" w:rsidP="003E10A0">
      <w:pPr>
        <w:pStyle w:val="NoSpacing"/>
      </w:pPr>
    </w:p>
    <w:p w:rsidR="003E10A0" w:rsidRPr="003E10A0" w:rsidRDefault="003E10A0" w:rsidP="003E10A0">
      <w:pPr>
        <w:pStyle w:val="NoSpacing"/>
        <w:jc w:val="center"/>
        <w:rPr>
          <w:rFonts w:ascii="Comic Sans MS" w:hAnsi="Comic Sans MS"/>
        </w:rPr>
      </w:pPr>
      <w:r w:rsidRPr="003E10A0">
        <w:rPr>
          <w:rFonts w:ascii="Comic Sans MS" w:hAnsi="Comic Sans MS"/>
        </w:rPr>
        <w:t xml:space="preserve">Please visit our home page </w:t>
      </w:r>
      <w:proofErr w:type="gramStart"/>
      <w:r w:rsidRPr="003E10A0">
        <w:rPr>
          <w:rFonts w:ascii="Comic Sans MS" w:hAnsi="Comic Sans MS"/>
        </w:rPr>
        <w:t>at</w:t>
      </w:r>
      <w:proofErr w:type="gramEnd"/>
      <w:r w:rsidRPr="003E10A0">
        <w:rPr>
          <w:rFonts w:ascii="Comic Sans MS" w:hAnsi="Comic Sans MS"/>
        </w:rPr>
        <w:t>:</w:t>
      </w:r>
    </w:p>
    <w:p w:rsidR="003E10A0" w:rsidRDefault="00E25F9D" w:rsidP="003E10A0">
      <w:pPr>
        <w:pStyle w:val="NoSpacing"/>
        <w:jc w:val="center"/>
        <w:rPr>
          <w:rFonts w:ascii="Comic Sans MS" w:hAnsi="Comic Sans MS"/>
        </w:rPr>
      </w:pPr>
      <w:hyperlink r:id="rId7" w:history="1">
        <w:r w:rsidR="003E10A0" w:rsidRPr="006C6123">
          <w:rPr>
            <w:rStyle w:val="Hyperlink"/>
            <w:rFonts w:ascii="Comic Sans MS" w:hAnsi="Comic Sans MS"/>
          </w:rPr>
          <w:t>www.libertyclerk.com</w:t>
        </w:r>
      </w:hyperlink>
    </w:p>
    <w:p w:rsidR="003E10A0" w:rsidRDefault="003E10A0" w:rsidP="003E10A0">
      <w:pPr>
        <w:pStyle w:val="NoSpacing"/>
        <w:jc w:val="center"/>
        <w:rPr>
          <w:rFonts w:ascii="Comic Sans MS" w:hAnsi="Comic Sans MS"/>
        </w:rPr>
      </w:pPr>
    </w:p>
    <w:p w:rsidR="003E10A0" w:rsidRDefault="003E10A0" w:rsidP="003E10A0">
      <w:pPr>
        <w:pStyle w:val="NoSpacing"/>
        <w:jc w:val="center"/>
        <w:rPr>
          <w:rFonts w:ascii="Comic Sans MS" w:hAnsi="Comic Sans MS"/>
        </w:rPr>
      </w:pPr>
    </w:p>
    <w:p w:rsidR="003E10A0" w:rsidRDefault="003E10A0" w:rsidP="003E10A0">
      <w:pPr>
        <w:pStyle w:val="NoSpacing"/>
        <w:jc w:val="center"/>
        <w:rPr>
          <w:rFonts w:ascii="Comic Sans MS" w:hAnsi="Comic Sans MS"/>
        </w:rPr>
      </w:pPr>
    </w:p>
    <w:p w:rsidR="003E10A0" w:rsidRPr="003E10A0" w:rsidRDefault="003E10A0" w:rsidP="003E10A0">
      <w:pPr>
        <w:pStyle w:val="NoSpacing"/>
        <w:jc w:val="center"/>
        <w:rPr>
          <w:rFonts w:asciiTheme="majorHAnsi" w:hAnsiTheme="majorHAnsi"/>
        </w:rPr>
      </w:pPr>
    </w:p>
    <w:p w:rsidR="003E10A0" w:rsidRPr="00E03020" w:rsidRDefault="003E10A0" w:rsidP="00E10A24">
      <w:pPr>
        <w:ind w:left="360"/>
      </w:pPr>
    </w:p>
    <w:p w:rsidR="00E03020" w:rsidRPr="00E03020" w:rsidRDefault="00E03020" w:rsidP="00E03020">
      <w:pPr>
        <w:rPr>
          <w:sz w:val="20"/>
          <w:szCs w:val="20"/>
        </w:rPr>
      </w:pPr>
    </w:p>
    <w:sectPr w:rsidR="00E03020" w:rsidRPr="00E03020" w:rsidSect="00E0302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2D8F"/>
    <w:multiLevelType w:val="hybridMultilevel"/>
    <w:tmpl w:val="3838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20"/>
    <w:rsid w:val="00001613"/>
    <w:rsid w:val="00007589"/>
    <w:rsid w:val="00007D02"/>
    <w:rsid w:val="00010D2B"/>
    <w:rsid w:val="000239BA"/>
    <w:rsid w:val="0005341A"/>
    <w:rsid w:val="00054E23"/>
    <w:rsid w:val="00056FD8"/>
    <w:rsid w:val="00064F2A"/>
    <w:rsid w:val="00083E70"/>
    <w:rsid w:val="00085503"/>
    <w:rsid w:val="00095024"/>
    <w:rsid w:val="000A0F1F"/>
    <w:rsid w:val="000B0FB7"/>
    <w:rsid w:val="000B3A0D"/>
    <w:rsid w:val="000C6680"/>
    <w:rsid w:val="000F00F5"/>
    <w:rsid w:val="000F4844"/>
    <w:rsid w:val="00104121"/>
    <w:rsid w:val="0012391C"/>
    <w:rsid w:val="0016257A"/>
    <w:rsid w:val="001A71E5"/>
    <w:rsid w:val="001C396F"/>
    <w:rsid w:val="001D4C02"/>
    <w:rsid w:val="002038D4"/>
    <w:rsid w:val="00204235"/>
    <w:rsid w:val="00213F8E"/>
    <w:rsid w:val="00227151"/>
    <w:rsid w:val="002634B6"/>
    <w:rsid w:val="0026503A"/>
    <w:rsid w:val="002A2AB2"/>
    <w:rsid w:val="002C255C"/>
    <w:rsid w:val="002C574A"/>
    <w:rsid w:val="002C66F0"/>
    <w:rsid w:val="002E55BC"/>
    <w:rsid w:val="00324C49"/>
    <w:rsid w:val="00343707"/>
    <w:rsid w:val="00345E52"/>
    <w:rsid w:val="00352A34"/>
    <w:rsid w:val="00376439"/>
    <w:rsid w:val="00380BB7"/>
    <w:rsid w:val="00382321"/>
    <w:rsid w:val="003A3099"/>
    <w:rsid w:val="003B1D50"/>
    <w:rsid w:val="003C2464"/>
    <w:rsid w:val="003E10A0"/>
    <w:rsid w:val="003E1975"/>
    <w:rsid w:val="00432D66"/>
    <w:rsid w:val="0043419E"/>
    <w:rsid w:val="004369AF"/>
    <w:rsid w:val="00436C38"/>
    <w:rsid w:val="00463C27"/>
    <w:rsid w:val="00464108"/>
    <w:rsid w:val="004830D6"/>
    <w:rsid w:val="00497B38"/>
    <w:rsid w:val="004B6B69"/>
    <w:rsid w:val="004B7F62"/>
    <w:rsid w:val="004C51C2"/>
    <w:rsid w:val="004C6DAE"/>
    <w:rsid w:val="00522668"/>
    <w:rsid w:val="00551D0D"/>
    <w:rsid w:val="00560772"/>
    <w:rsid w:val="00593176"/>
    <w:rsid w:val="005B3DA0"/>
    <w:rsid w:val="005D0896"/>
    <w:rsid w:val="005E2DE6"/>
    <w:rsid w:val="005E6462"/>
    <w:rsid w:val="005F26D7"/>
    <w:rsid w:val="006056D3"/>
    <w:rsid w:val="0061597E"/>
    <w:rsid w:val="006233E5"/>
    <w:rsid w:val="00624414"/>
    <w:rsid w:val="00651B4D"/>
    <w:rsid w:val="006670AC"/>
    <w:rsid w:val="006800DE"/>
    <w:rsid w:val="00686B45"/>
    <w:rsid w:val="00687ED4"/>
    <w:rsid w:val="0069738F"/>
    <w:rsid w:val="006A4E6B"/>
    <w:rsid w:val="006B2266"/>
    <w:rsid w:val="006C337D"/>
    <w:rsid w:val="006C7E3C"/>
    <w:rsid w:val="006D4B83"/>
    <w:rsid w:val="006D5385"/>
    <w:rsid w:val="00701728"/>
    <w:rsid w:val="00735E24"/>
    <w:rsid w:val="00741A7E"/>
    <w:rsid w:val="00755938"/>
    <w:rsid w:val="00755C86"/>
    <w:rsid w:val="00760503"/>
    <w:rsid w:val="007725EA"/>
    <w:rsid w:val="007E2F1A"/>
    <w:rsid w:val="007F293D"/>
    <w:rsid w:val="007F79DD"/>
    <w:rsid w:val="008077DD"/>
    <w:rsid w:val="008264C6"/>
    <w:rsid w:val="0085297B"/>
    <w:rsid w:val="008545DB"/>
    <w:rsid w:val="00862C13"/>
    <w:rsid w:val="0088633F"/>
    <w:rsid w:val="008962A7"/>
    <w:rsid w:val="008D5958"/>
    <w:rsid w:val="00911045"/>
    <w:rsid w:val="0096705E"/>
    <w:rsid w:val="009672EC"/>
    <w:rsid w:val="0099151D"/>
    <w:rsid w:val="00992954"/>
    <w:rsid w:val="009A3425"/>
    <w:rsid w:val="009B7A24"/>
    <w:rsid w:val="009E0203"/>
    <w:rsid w:val="009E3767"/>
    <w:rsid w:val="009E61A3"/>
    <w:rsid w:val="009F7BA5"/>
    <w:rsid w:val="00A118C1"/>
    <w:rsid w:val="00A55FE8"/>
    <w:rsid w:val="00A60CD4"/>
    <w:rsid w:val="00A6705E"/>
    <w:rsid w:val="00A77F81"/>
    <w:rsid w:val="00A97F96"/>
    <w:rsid w:val="00AB791B"/>
    <w:rsid w:val="00AC1172"/>
    <w:rsid w:val="00AC5823"/>
    <w:rsid w:val="00AD7AD5"/>
    <w:rsid w:val="00AE10DA"/>
    <w:rsid w:val="00AE17EA"/>
    <w:rsid w:val="00AE326F"/>
    <w:rsid w:val="00AE5F60"/>
    <w:rsid w:val="00B00FDE"/>
    <w:rsid w:val="00B1168C"/>
    <w:rsid w:val="00B3743F"/>
    <w:rsid w:val="00B40398"/>
    <w:rsid w:val="00B53E42"/>
    <w:rsid w:val="00B53E67"/>
    <w:rsid w:val="00B56DB2"/>
    <w:rsid w:val="00B779DC"/>
    <w:rsid w:val="00B87689"/>
    <w:rsid w:val="00B92179"/>
    <w:rsid w:val="00BA4668"/>
    <w:rsid w:val="00BB3571"/>
    <w:rsid w:val="00BB5FA6"/>
    <w:rsid w:val="00BE1199"/>
    <w:rsid w:val="00BE78E4"/>
    <w:rsid w:val="00C14829"/>
    <w:rsid w:val="00C15D96"/>
    <w:rsid w:val="00C2027A"/>
    <w:rsid w:val="00C20E3C"/>
    <w:rsid w:val="00C21428"/>
    <w:rsid w:val="00C24FDD"/>
    <w:rsid w:val="00C434A3"/>
    <w:rsid w:val="00C436E8"/>
    <w:rsid w:val="00C477AD"/>
    <w:rsid w:val="00C47AE5"/>
    <w:rsid w:val="00C70C08"/>
    <w:rsid w:val="00C75695"/>
    <w:rsid w:val="00C77D2C"/>
    <w:rsid w:val="00C940BC"/>
    <w:rsid w:val="00C95739"/>
    <w:rsid w:val="00CC7E36"/>
    <w:rsid w:val="00CF1CFF"/>
    <w:rsid w:val="00D07DE9"/>
    <w:rsid w:val="00D414F1"/>
    <w:rsid w:val="00D44B1F"/>
    <w:rsid w:val="00D5205A"/>
    <w:rsid w:val="00D94BBA"/>
    <w:rsid w:val="00DD0413"/>
    <w:rsid w:val="00DE684F"/>
    <w:rsid w:val="00E03020"/>
    <w:rsid w:val="00E05905"/>
    <w:rsid w:val="00E059AA"/>
    <w:rsid w:val="00E10A24"/>
    <w:rsid w:val="00E25F9D"/>
    <w:rsid w:val="00E3185F"/>
    <w:rsid w:val="00E31B65"/>
    <w:rsid w:val="00E655A3"/>
    <w:rsid w:val="00E87394"/>
    <w:rsid w:val="00E87762"/>
    <w:rsid w:val="00E93753"/>
    <w:rsid w:val="00EA00D8"/>
    <w:rsid w:val="00EA0D04"/>
    <w:rsid w:val="00EC1347"/>
    <w:rsid w:val="00EF4DE3"/>
    <w:rsid w:val="00F356D4"/>
    <w:rsid w:val="00F365A7"/>
    <w:rsid w:val="00F450B5"/>
    <w:rsid w:val="00F4763C"/>
    <w:rsid w:val="00F718F2"/>
    <w:rsid w:val="00F838BF"/>
    <w:rsid w:val="00F84097"/>
    <w:rsid w:val="00F8694C"/>
    <w:rsid w:val="00F95EEC"/>
    <w:rsid w:val="00F96907"/>
    <w:rsid w:val="00FD46FC"/>
    <w:rsid w:val="00FE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FB93-F7FF-4D07-9250-13B9E236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20"/>
    <w:pPr>
      <w:ind w:left="720"/>
      <w:contextualSpacing/>
    </w:pPr>
  </w:style>
  <w:style w:type="character" w:styleId="Hyperlink">
    <w:name w:val="Hyperlink"/>
    <w:basedOn w:val="DefaultParagraphFont"/>
    <w:uiPriority w:val="99"/>
    <w:unhideWhenUsed/>
    <w:rsid w:val="00E10A24"/>
    <w:rPr>
      <w:color w:val="0563C1" w:themeColor="hyperlink"/>
      <w:u w:val="single"/>
    </w:rPr>
  </w:style>
  <w:style w:type="table" w:styleId="TableGrid">
    <w:name w:val="Table Grid"/>
    <w:basedOn w:val="TableNormal"/>
    <w:uiPriority w:val="39"/>
    <w:rsid w:val="00E1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ertycle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nbiz.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37BE-6A06-4869-9E23-9AD7F04C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Ritter</dc:creator>
  <cp:keywords/>
  <dc:description/>
  <cp:lastModifiedBy>Angel Phillips</cp:lastModifiedBy>
  <cp:revision>2</cp:revision>
  <dcterms:created xsi:type="dcterms:W3CDTF">2018-07-31T16:32:00Z</dcterms:created>
  <dcterms:modified xsi:type="dcterms:W3CDTF">2018-07-31T16:32:00Z</dcterms:modified>
</cp:coreProperties>
</file>